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 xml:space="preserve">项目名称：连云港市第一人民医院</w:t>
      </w:r>
      <w:r>
        <w:rPr>
          <w:rFonts w:hint="eastAsia" w:cs="Times New Roman" w:asciiTheme="minorEastAsia" w:hAnsiTheme="minorEastAsia"/>
          <w:b/>
          <w:bCs/>
          <w:color w:val="000000"/>
          <w:sz w:val="32"/>
          <w:szCs w:val="24"/>
          <w:lang w:eastAsia="zh-CN"/>
        </w:rPr>
        <w:t xml:space="preserve">实时荧光定量PCR系统</w:t>
      </w:r>
      <w:r>
        <w:rPr>
          <w:rFonts w:hint="eastAsia" w:cs="Times New Roman" w:asciiTheme="minorEastAsia" w:hAnsiTheme="minorEastAsia"/>
          <w:b/>
          <w:bCs/>
          <w:color w:val="000000"/>
          <w:sz w:val="32"/>
          <w:szCs w:val="24"/>
        </w:rPr>
        <w:t xml:space="preserve">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JSZC-320700-ZJZB-G2025-0194</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采购人：连云港市第一人民医院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2025年</w:t>
      </w:r>
      <w:r>
        <w:rPr>
          <w:rFonts w:hint="eastAsia" w:cs="Times New Roman" w:asciiTheme="minorEastAsia" w:hAnsiTheme="minorEastAsia"/>
          <w:color w:val="000000"/>
          <w:sz w:val="28"/>
          <w:szCs w:val="24"/>
          <w:lang w:val="en-US" w:eastAsia="zh-CN"/>
        </w:rPr>
        <w:t xml:space="preserve">10</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974"/>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987"/>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987"/>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987"/>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20</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987"/>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25</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"_Toc151625259" </w:instrText>
      </w:r>
      <w:r>
        <w:fldChar w:fldCharType="separate"/>
      </w:r>
      <w:r>
        <w:rPr>
          <w:rStyle w:val="987"/>
          <w:rFonts w:hint="eastAsia" w:asciiTheme="minorEastAsia" w:hAnsiTheme="minorEastAsia" w:eastAsiaTheme="minorEastAsia"/>
          <w:i w:val="0"/>
          <w:sz w:val="28"/>
          <w:szCs w:val="28"/>
        </w:rPr>
        <w:t xml:space="preserve">第五章合同专用条款表</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_Toc151625259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42</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987"/>
          <w:rFonts w:hint="eastAsia" w:asciiTheme="minorEastAsia" w:hAnsiTheme="minorEastAsia" w:eastAsiaTheme="minorEastAsia"/>
          <w:i w:val="0"/>
          <w:sz w:val="28"/>
          <w:szCs w:val="28"/>
        </w:rPr>
        <w:t xml:space="preserve">第六章项目需求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987"/>
          <w:rFonts w:hint="eastAsia" w:asciiTheme="minorEastAsia" w:hAnsiTheme="minorEastAsia" w:eastAsiaTheme="minorEastAsia"/>
          <w:i w:val="0"/>
          <w:sz w:val="28"/>
          <w:szCs w:val="28"/>
        </w:rPr>
        <w:t xml:space="preserve">第七章评标办法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7210"/>
      <w:r/>
      <w:bookmarkStart w:id="2" w:name="_Toc139966426"/>
      <w:r>
        <w:rPr>
          <w:rFonts w:cs="Times New Roman" w:asciiTheme="minorEastAsia" w:hAnsiTheme="minorEastAsia"/>
          <w:color w:val="000000"/>
          <w:sz w:val="36"/>
          <w:szCs w:val="20"/>
        </w:rPr>
        <w:br w:type="page" w:clear="all"/>
      </w:r>
      <w:bookmarkStart w:id="3" w:name="_Toc513622226"/>
      <w:r/>
      <w:bookmarkStart w:id="4" w:name="_Toc151625255"/>
      <w:r>
        <w:rPr>
          <w:rFonts w:hint="eastAsia" w:cs="Times New Roman" w:asciiTheme="minorEastAsia" w:hAnsiTheme="minorEastAsia"/>
          <w:color w:val="000000"/>
          <w:sz w:val="36"/>
          <w:szCs w:val="20"/>
        </w:rPr>
        <w:t xml:space="preserve">第一章投标邀请</w:t>
      </w:r>
      <w:bookmarkEnd w:id="3"/>
      <w:r/>
      <w:bookmarkEnd w:id="4"/>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rPr>
              <w:t xml:space="preserve">连云港市第一人民医院</w:t>
            </w:r>
            <w:r>
              <w:rPr>
                <w:rFonts w:hint="eastAsia" w:cs="Times New Roman" w:asciiTheme="minorEastAsia" w:hAnsiTheme="minorEastAsia"/>
                <w:sz w:val="24"/>
                <w:szCs w:val="24"/>
                <w:u w:val="single"/>
                <w:lang w:eastAsia="zh-CN"/>
              </w:rPr>
              <w:t xml:space="preserve">实时荧光定量PCR系统</w:t>
            </w:r>
            <w:r>
              <w:rPr>
                <w:rFonts w:hint="eastAsia" w:cs="Times New Roman" w:asciiTheme="minorEastAsia" w:hAnsiTheme="minorEastAsia"/>
                <w:sz w:val="24"/>
                <w:szCs w:val="24"/>
                <w:u w:val="single"/>
              </w:rPr>
              <w:t xml:space="preserve">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2025年</w:t>
            </w:r>
            <w:r>
              <w:rPr>
                <w:rFonts w:hint="eastAsia" w:cs="Times New Roman" w:asciiTheme="minorEastAsia" w:hAnsiTheme="minorEastAsia"/>
                <w:sz w:val="24"/>
                <w:szCs w:val="24"/>
                <w:u w:val="single"/>
                <w:lang w:val="en-US" w:eastAsia="zh-CN"/>
              </w:rPr>
              <w:t xml:space="preserve">11</w:t>
            </w:r>
            <w:r>
              <w:rPr>
                <w:rFonts w:hint="eastAsia" w:cs="Times New Roman" w:asciiTheme="minorEastAsia" w:hAnsiTheme="minorEastAsia"/>
                <w:sz w:val="24"/>
                <w:szCs w:val="24"/>
                <w:u w:val="single"/>
              </w:rPr>
              <w:t xml:space="preserve">月27</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JSZC-320700-ZJZB-G2025-0194</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项目名称：连云港市第一人民医院</w:t>
      </w:r>
      <w:r>
        <w:rPr>
          <w:rFonts w:hint="eastAsia" w:cs="Times New Roman" w:asciiTheme="minorEastAsia" w:hAnsiTheme="minorEastAsia"/>
          <w:color w:val="000000"/>
          <w:sz w:val="24"/>
          <w:szCs w:val="24"/>
          <w:lang w:eastAsia="zh-CN"/>
        </w:rPr>
        <w:t xml:space="preserve">实时荧光定量PCR系统</w:t>
      </w:r>
      <w:r>
        <w:rPr>
          <w:rFonts w:hint="eastAsia" w:cs="Times New Roman" w:asciiTheme="minorEastAsia" w:hAnsiTheme="minorEastAsia"/>
          <w:color w:val="000000"/>
          <w:sz w:val="24"/>
          <w:szCs w:val="24"/>
        </w:rPr>
        <w:t xml:space="preserve">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rPr>
        <w:t xml:space="preserve">65</w:t>
      </w:r>
      <w:r>
        <w:rPr>
          <w:rFonts w:hint="eastAsia" w:cs="Times New Roman" w:asciiTheme="minorEastAsia" w:hAnsiTheme="minorEastAsia"/>
          <w:color w:val="000000"/>
          <w:sz w:val="24"/>
          <w:szCs w:val="24"/>
        </w:rPr>
        <w:t xml:space="preserve">万元。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最高限价(如有):</w:t>
      </w:r>
      <w:r>
        <w:rPr>
          <w:rFonts w:hint="eastAsia" w:cs="Times New Roman" w:asciiTheme="minorEastAsia" w:hAnsiTheme="minorEastAsia"/>
          <w:b/>
          <w:bCs/>
          <w:color w:val="000000"/>
          <w:sz w:val="24"/>
          <w:szCs w:val="24"/>
          <w:lang w:val="en-US" w:eastAsia="zh-CN"/>
        </w:rPr>
        <w:t xml:space="preserve">55</w:t>
      </w:r>
      <w:r>
        <w:rPr>
          <w:rFonts w:hint="eastAsia" w:cs="Times New Roman" w:asciiTheme="minorEastAsia" w:hAnsiTheme="minorEastAsia"/>
          <w:b/>
          <w:bCs/>
          <w:color w:val="000000"/>
          <w:sz w:val="24"/>
          <w:szCs w:val="24"/>
        </w:rPr>
        <w:t xml:space="preserve">万元</w:t>
      </w:r>
      <w:r>
        <w:rPr>
          <w:rFonts w:hint="eastAsia" w:cs="Times New Roman" w:asciiTheme="minorEastAsia" w:hAnsiTheme="minorEastAsia"/>
          <w:color w:val="000000"/>
          <w:sz w:val="24"/>
          <w:szCs w:val="24"/>
        </w:rPr>
        <w:t xml:space="preserve">，投标报价超过最高限价的投标无效。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实时荧光定量PCR系统</w:t>
      </w:r>
      <w:r>
        <w:rPr>
          <w:rFonts w:hint="eastAsia" w:cs="Times New Roman" w:asciiTheme="minorEastAsia" w:hAnsiTheme="minorEastAsia"/>
          <w:color w:val="000000"/>
          <w:sz w:val="24"/>
          <w:szCs w:val="24"/>
        </w:rPr>
        <w:t xml:space="preserve">采购，详见项目需求。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30天。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3"/>
      <w:r/>
      <w:bookmarkStart w:id="6" w:name="OLE_LINK2"/>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cs="Times New Roman" w:asciiTheme="minorEastAsia" w:hAnsiTheme="minorEastAsia"/>
          <w:b/>
          <w:sz w:val="24"/>
          <w:szCs w:val="24"/>
        </w:rPr>
        <w:t xml:space="preserve">无。</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3.本项目的特定资格要求：无</w:t>
      </w:r>
      <w:r>
        <w:rPr>
          <w:rFonts w:hint="eastAsia" w:cs="Times New Roman" w:asciiTheme="minorEastAsia" w:hAnsiTheme="minorEastAsia"/>
          <w:color w:val="000000" w:themeColor="text1"/>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1．时间：2025年</w:t>
      </w:r>
      <w:r>
        <w:rPr>
          <w:rFonts w:hint="eastAsia" w:cs="Times New Roman" w:asciiTheme="minorEastAsia" w:hAnsiTheme="minorEastAsia"/>
          <w:sz w:val="24"/>
          <w:szCs w:val="24"/>
          <w:lang w:val="en-US" w:eastAsia="zh-CN"/>
        </w:rPr>
        <w:t xml:space="preserve">10</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31</w:t>
      </w:r>
      <w:r>
        <w:rPr>
          <w:rFonts w:hint="eastAsia" w:cs="Times New Roman" w:asciiTheme="minorEastAsia" w:hAnsiTheme="minorEastAsia"/>
          <w:sz w:val="24"/>
          <w:szCs w:val="24"/>
        </w:rPr>
        <w:t xml:space="preserve">日至2025年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投标文件接收截止时间：2025年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27</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开标时间：2025年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27</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Theme="minorEastAsia" w:hAnsiTheme="minorEastAsia"/>
          <w:sz w:val="24"/>
        </w:rPr>
        <w:t xml:space="preserve">连云港市海州区振华东路6号</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w:t>
      </w:r>
      <w:bookmarkStart w:id="7" w:name="OLE_LINK1"/>
      <w:r>
        <w:rPr>
          <w:rFonts w:asciiTheme="minorEastAsia" w:hAnsiTheme="minorEastAsia"/>
          <w:sz w:val="24"/>
        </w:rPr>
        <w:t xml:space="preserve">0518-8576786</w:t>
      </w:r>
      <w:r>
        <w:rPr>
          <w:rFonts w:hint="eastAsia" w:asciiTheme="minorEastAsia" w:hAnsiTheme="minorEastAsia"/>
          <w:sz w:val="24"/>
        </w:rPr>
        <w:t xml:space="preserve">8</w:t>
      </w:r>
      <w:bookmarkEnd w:id="7"/>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所有投标人解密（或解密时间）结束后，“苏采云”系统生成开标记录并向社会公众公布，但依法应当保密的除外。</w:t>
      </w:r>
      <w:r/>
    </w:p>
    <w:p>
      <w:pPr>
        <w:ind w:firstLine="482"/>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8" w:name="_Toc151625256"/>
      <w:r/>
      <w:bookmarkStart w:id="9" w:name="_Toc513622227"/>
      <w:r>
        <w:rPr>
          <w:rFonts w:hint="eastAsia" w:cs="Times New Roman" w:asciiTheme="minorEastAsia" w:hAnsiTheme="minorEastAsia"/>
          <w:color w:val="000000"/>
          <w:sz w:val="36"/>
          <w:szCs w:val="20"/>
        </w:rPr>
        <w:t xml:space="preserve">第二章投标人须知</w:t>
      </w:r>
      <w:bookmarkEnd w:id="1"/>
      <w:r/>
      <w:bookmarkEnd w:id="2"/>
      <w:r/>
      <w:bookmarkEnd w:id="8"/>
      <w:r/>
      <w:bookmarkEnd w:id="9"/>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1.评审过程中出现下列情形之一的，评审委员会应当启动异常低价投标（响应）审查程序：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①投标（响应）报价低于采购项目预算50%的，即投标（响应）报价&lt;采购项目预算×50%；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②投标（响应）报价低于采购项目最高限价45%的，即投标（响应）报价&lt;采购项目最高限价×45%；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③评审委员会认定的供应商报价过低、有可能影响产品质量或者不能诚信履约的其他情形。</w:t>
      </w:r>
      <w:r/>
    </w:p>
    <w:p>
      <w:pPr>
        <w:ind w:firstLine="480"/>
        <w:jc w:val="left"/>
        <w:spacing w:line="360" w:lineRule="auto"/>
        <w:rPr>
          <w:rFonts w:hint="eastAsia" w:cs="Times New Roman" w:asciiTheme="minorEastAsia" w:hAnsiTheme="minorEastAsia"/>
          <w:color w:val="ff0000"/>
          <w:sz w:val="24"/>
          <w:szCs w:val="24"/>
        </w:rPr>
      </w:pPr>
      <w:r>
        <w:rPr>
          <w:rFonts w:cs="Times New Roman" w:asciiTheme="minorEastAsia" w:hAnsiTheme="minorEastAsia"/>
          <w:color w:val="ff0000"/>
          <w:sz w:val="24"/>
          <w:szCs w:val="24"/>
        </w:rPr>
        <w:t xml:space="preserve">（</w:t>
      </w:r>
      <w:r>
        <w:rPr>
          <w:rFonts w:hint="eastAsia" w:cs="Times New Roman" w:asciiTheme="minorEastAsia" w:hAnsiTheme="minorEastAsia"/>
          <w:color w:val="ff0000"/>
          <w:sz w:val="24"/>
          <w:szCs w:val="24"/>
        </w:rPr>
        <w:t xml:space="preserve">一</w:t>
      </w:r>
      <w:r>
        <w:rPr>
          <w:rFonts w:cs="Times New Roman" w:asciiTheme="minorEastAsia" w:hAnsiTheme="minorEastAsia"/>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中标供应商在领取中标通知书时，需提供叁份与电子投标文件一致的纸质打印投标文件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按发改价格[2002]1980号文下浮50%标准计取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10" w:name="_Toc139966427"/>
      <w:r/>
      <w:bookmarkStart w:id="11" w:name="_Toc139967211"/>
      <w:r/>
      <w:bookmarkStart w:id="12" w:name="_Toc513622228"/>
      <w:r/>
      <w:bookmarkStart w:id="13" w:name="_Toc151625257"/>
      <w:r>
        <w:rPr>
          <w:rFonts w:hint="eastAsia" w:cs="Times New Roman" w:asciiTheme="minorEastAsia" w:hAnsiTheme="minorEastAsia"/>
          <w:color w:val="000000"/>
          <w:sz w:val="36"/>
          <w:szCs w:val="20"/>
        </w:rPr>
        <w:t xml:space="preserve">第三章政府采购合同格式</w:t>
      </w:r>
      <w:bookmarkEnd w:id="10"/>
      <w:r/>
      <w:bookmarkEnd w:id="11"/>
      <w:r/>
      <w:bookmarkEnd w:id="12"/>
      <w:r/>
      <w:bookmarkEnd w:id="13"/>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firstLine="643"/>
        <w:jc w:val="center"/>
        <w:spacing w:line="360" w:lineRule="auto"/>
        <w:rPr>
          <w:rFonts w:hint="eastAsia" w:cs="Times New Roman" w:asciiTheme="minorEastAsia" w:hAnsiTheme="minorEastAsia"/>
          <w:b/>
          <w:color w:val="000000"/>
          <w:sz w:val="32"/>
          <w:szCs w:val="20"/>
        </w:rPr>
      </w:pPr>
      <w:r>
        <w:rPr>
          <w:rFonts w:hint="eastAsia" w:cs="Times New Roman" w:asciiTheme="minorEastAsia" w:hAnsiTheme="minorEastAsia"/>
          <w:b/>
          <w:color w:val="000000"/>
          <w:sz w:val="32"/>
          <w:szCs w:val="20"/>
        </w:rPr>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甲方：连云港市第一人民医院</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乙方：</w:t>
      </w:r>
      <w:r/>
    </w:p>
    <w:p>
      <w:pPr>
        <w:ind w:firstLine="480"/>
        <w:jc w:val="left"/>
        <w:spacing w:line="360" w:lineRule="auto"/>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甲方委托</w:t>
      </w:r>
      <w:r>
        <w:rPr>
          <w:rFonts w:hint="eastAsia" w:cs="宋体" w:asciiTheme="minorEastAsia" w:hAnsiTheme="minorEastAsia"/>
          <w:sz w:val="24"/>
          <w:szCs w:val="24"/>
          <w:u w:val="single"/>
        </w:rPr>
        <w:t xml:space="preserve">江苏中际招标代理有限公司</w:t>
      </w:r>
      <w:r>
        <w:rPr>
          <w:rFonts w:hint="eastAsia" w:cs="Times New Roman" w:asciiTheme="minorEastAsia" w:hAnsiTheme="minorEastAsia"/>
          <w:sz w:val="24"/>
          <w:szCs w:val="24"/>
        </w:rPr>
        <w:t xml:space="preserve">就</w:t>
      </w:r>
      <w:r>
        <w:rPr>
          <w:rFonts w:hint="eastAsia" w:cs="Times New Roman" w:asciiTheme="minorEastAsia" w:hAnsiTheme="minorEastAsia"/>
          <w:sz w:val="24"/>
          <w:szCs w:val="24"/>
          <w:u w:val="single"/>
        </w:rPr>
        <w:t xml:space="preserve">连云港市第一人民医院.......设备采购</w:t>
      </w:r>
      <w:r>
        <w:rPr>
          <w:rFonts w:hint="eastAsia" w:cs="Times New Roman" w:asciiTheme="minorEastAsia" w:hAnsiTheme="minorEastAsia"/>
          <w:sz w:val="24"/>
          <w:szCs w:val="24"/>
        </w:rPr>
        <w:t xml:space="preserve">设备对外公开招标（项目编号：）。经过专家评审，确定乙方为中标单位。为规范甲乙双方权利与义务</w:t>
      </w:r>
      <w:r>
        <w:rPr>
          <w:rFonts w:hint="eastAsia" w:cs="Times New Roman" w:asciiTheme="minorEastAsia" w:hAnsiTheme="minorEastAsia"/>
          <w:color w:val="000000"/>
          <w:sz w:val="24"/>
          <w:szCs w:val="24"/>
        </w:rPr>
        <w:t xml:space="preserve">，特订立本合同。</w:t>
      </w:r>
      <w:r/>
    </w:p>
    <w:p>
      <w:pPr>
        <w:ind w:firstLine="482"/>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一、设备名称、型号、数量和价格</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设备名称</w:t>
            </w:r>
            <w:r/>
          </w:p>
        </w:tc>
        <w:tc>
          <w:tcPr>
            <w:tcW w:w="2036"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生产厂家</w:t>
            </w:r>
            <w:r/>
          </w:p>
        </w:tc>
        <w:tc>
          <w:tcPr>
            <w:tcW w:w="108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注册证号</w:t>
            </w:r>
            <w:r/>
          </w:p>
        </w:tc>
        <w:tc>
          <w:tcPr>
            <w:tcW w:w="150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规格型号</w:t>
            </w:r>
            <w:r/>
          </w:p>
        </w:tc>
        <w:tc>
          <w:tcPr>
            <w:tcW w:w="739"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单位</w:t>
            </w:r>
            <w:r/>
          </w:p>
        </w:tc>
        <w:tc>
          <w:tcPr>
            <w:tcW w:w="705"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数量</w:t>
            </w:r>
            <w:r/>
          </w:p>
        </w:tc>
        <w:tc>
          <w:tcPr>
            <w:tcW w:w="1376" w:type="dxa"/>
            <w:vAlign w:val="center"/>
            <w:textDirection w:val="lrTb"/>
            <w:noWrap w:val="false"/>
          </w:tcPr>
          <w:p>
            <w:pPr>
              <w:widowControl/>
              <w:rPr>
                <w:rFonts w:hint="eastAsia" w:cs="宋体" w:asciiTheme="minorEastAsia" w:hAnsiTheme="minorEastAsia"/>
                <w:color w:val="000000"/>
                <w:szCs w:val="21"/>
                <w:u w:val="single"/>
              </w:rPr>
            </w:pPr>
            <w:r>
              <w:rPr>
                <w:rFonts w:hint="eastAsia" w:cs="宋体" w:asciiTheme="minorEastAsia" w:hAnsiTheme="minorEastAsia"/>
                <w:color w:val="000000"/>
                <w:szCs w:val="21"/>
              </w:rPr>
              <w:t xml:space="preserve">单价（元）</w:t>
            </w:r>
            <w:r/>
          </w:p>
        </w:tc>
        <w:tc>
          <w:tcPr>
            <w:tcW w:w="1275"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金额（元）</w:t>
            </w:r>
            <w:r/>
          </w:p>
        </w:tc>
      </w:tr>
      <w:tr>
        <w:trPr>
          <w:jc w:val="center"/>
          <w:trHeight w:val="774"/>
        </w:trPr>
        <w:tc>
          <w:tcPr>
            <w:tcW w:w="133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2036"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08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50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39"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05"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376"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275"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90"/>
        </w:trPr>
        <w:tc>
          <w:tcPr>
            <w:gridSpan w:val="6"/>
            <w:tcW w:w="7390" w:type="dxa"/>
            <w:vAlign w:val="bottom"/>
            <w:textDirection w:val="lrTb"/>
            <w:noWrap w:val="false"/>
          </w:tcPr>
          <w:p>
            <w:pPr>
              <w:ind w:firstLine="482"/>
              <w:widowControl/>
              <w:rPr>
                <w:rFonts w:hint="eastAsia" w:cs="宋体" w:asciiTheme="minorEastAsia" w:hAnsiTheme="minorEastAsia"/>
                <w:color w:val="000000"/>
                <w:szCs w:val="21"/>
                <w:u w:val="single"/>
              </w:rPr>
            </w:pPr>
            <w:r>
              <w:rPr>
                <w:rFonts w:hint="eastAsia" w:cs="宋体" w:asciiTheme="minorEastAsia" w:hAnsiTheme="minorEastAsia"/>
                <w:color w:val="000000"/>
                <w:szCs w:val="21"/>
              </w:rPr>
              <w:t xml:space="preserve">总计（大写）：人民币   元整</w:t>
            </w:r>
            <w:r/>
          </w:p>
        </w:tc>
        <w:tc>
          <w:tcPr>
            <w:gridSpan w:val="2"/>
            <w:tcW w:w="2651" w:type="dxa"/>
            <w:vAlign w:val="bottom"/>
            <w:textDirection w:val="lrTb"/>
            <w:noWrap w:val="false"/>
          </w:tcPr>
          <w:p>
            <w:pPr>
              <w:ind w:firstLine="482"/>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（小写）：</w:t>
            </w:r>
            <w:r/>
          </w:p>
        </w:tc>
      </w:tr>
    </w:tbl>
    <w:p>
      <w:pPr>
        <w:ind w:firstLine="420"/>
        <w:rPr>
          <w:rFonts w:hint="eastAsia" w:cs="宋体" w:asciiTheme="minorEastAsia" w:hAnsiTheme="minorEastAsia"/>
          <w:color w:val="000000"/>
          <w:szCs w:val="21"/>
        </w:rPr>
      </w:pPr>
      <w:r>
        <w:rPr>
          <w:rFonts w:hint="eastAsia" w:cs="宋体" w:asciiTheme="minorEastAsia" w:hAnsiTheme="minorEastAsia"/>
          <w:color w:val="000000"/>
          <w:szCs w:val="21"/>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二、设备配置清单见附件。</w:t>
      </w:r>
      <w:r/>
    </w:p>
    <w:p>
      <w:pPr>
        <w:ind w:firstLine="482"/>
        <w:rPr>
          <w:rFonts w:hint="eastAsia" w:cs="宋体" w:asciiTheme="minorEastAsia" w:hAnsiTheme="minorEastAsia"/>
          <w:color w:val="000000"/>
          <w:sz w:val="24"/>
          <w:szCs w:val="24"/>
        </w:rPr>
      </w:pPr>
      <w:r>
        <w:rPr>
          <w:rFonts w:hint="eastAsia" w:cs="宋体" w:asciiTheme="minorEastAsia" w:hAnsiTheme="minorEastAsia"/>
          <w:sz w:val="24"/>
          <w:szCs w:val="24"/>
        </w:rPr>
        <w:t xml:space="preserve">三、付款方式：</w:t>
      </w:r>
      <w:r>
        <w:rPr>
          <w:rFonts w:hint="eastAsia" w:cs="宋体" w:asciiTheme="minorEastAsia" w:hAnsiTheme="minorEastAsia"/>
          <w:color w:val="000000"/>
          <w:sz w:val="24"/>
          <w:szCs w:val="24"/>
        </w:rPr>
        <w:t xml:space="preserve">到货后中标人负责安装、调试，采购人负责书面验收。验收合格后，中标人提供免费质保证明，采购人全额支付货物款项。采购人付款前，中标人应向采购人出具符合采购人要求的发票。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四、交货期：乙方应在本合同生效之日起天之内将货物运抵甲方指定地点。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五、交货地点：连云港市第一人民医院指定院区。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六、质保期：上述设备提供免费原厂全保年，自甲方正式验收合格之日起计算。在质保期内，乙方需对所提供的货物定期检查和保养，并且保证每年上门检修、保养一次，不再向甲方收取费用。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七、资质、质量要求及技术标准</w:t>
      </w:r>
      <w:r/>
    </w:p>
    <w:p>
      <w:pPr>
        <w:ind w:firstLine="480"/>
        <w:spacing w:line="360" w:lineRule="auto"/>
        <w:rPr>
          <w:rFonts w:hint="eastAsia" w:cs="宋体" w:asciiTheme="minorEastAsia" w:hAnsiTheme="minorEastAsia"/>
          <w:bCs/>
          <w:sz w:val="24"/>
          <w:szCs w:val="24"/>
        </w:rPr>
      </w:pPr>
      <w:r>
        <w:rPr>
          <w:rFonts w:hint="eastAsia" w:cs="宋体" w:asciiTheme="minorEastAsia" w:hAnsiTheme="minorEastAsia"/>
          <w:sz w:val="24"/>
          <w:szCs w:val="24"/>
        </w:rPr>
        <w:t xml:space="preserve">1．特别提醒条款：</w:t>
      </w:r>
      <w:r>
        <w:rPr>
          <w:rFonts w:hint="eastAsia" w:cs="宋体" w:asciiTheme="minorEastAsia" w:hAnsiTheme="minorEastAsia"/>
          <w:bCs/>
          <w:sz w:val="24"/>
          <w:szCs w:val="24"/>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hint="eastAsia" w:cs="宋体" w:asciiTheme="minorEastAsia" w:hAnsiTheme="minorEastAsia"/>
          <w:sz w:val="24"/>
          <w:szCs w:val="24"/>
          <w:u w:val="single"/>
        </w:rPr>
      </w:pPr>
      <w:r>
        <w:rPr>
          <w:rFonts w:hint="eastAsia" w:cs="宋体" w:asciiTheme="minorEastAsia" w:hAnsiTheme="minorEastAsia"/>
          <w:sz w:val="24"/>
          <w:szCs w:val="24"/>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八、设备到货、安装和验收要求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3．设备安装、调试结束后，甲方对设备试用后进行验收（时间由甲、乙双方商定），乙方免费派工程师到达现场协助验收工作。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 乙方确保设备安装调试后须具备正常运行所需的所有条件，即为交钥匙项目。</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5．质保期自甲方书面验收合格之日算起，质保期外只收配件费，免收人工费等一切费用。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九、技术培训</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 ②正规培训班培训：/。</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十、售后服务要求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确保设备质保期内开机率为98%，如设备故障停机率超过2%（一年按365天计算，每年8天），每超过一天（一天并不意味24小时停机，只要当日发生停机事件，即视为停机一天），质保期延长两周，超过10天，乙方应向甲方每天支付合同金额1%的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无论在质保期内还是质保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4．乙方免费提供全套技术资料（维修说明书包括详细电路图、操作说明书及光盘等），如技术资料不全，甲方有权不支付货款。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十一、专利权和货物相关的更改要求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4、在合同执行过程中，如果国家相应的技术规范作出调整，或货物的技术有了较大的更新，乙方应免费更换所供货物的相应部件。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十二、违约责任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1、甲方无正当理由拒收货物的，由甲方向乙方偿付合同总价的5%违约金。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3、如乙方不能交付货物，乙方应向甲方支付合同总价5%违约金。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5、乙方所交付的货物品种、型号、规格等不符合合同规定的，甲方有权拒收。甲方拒收的，乙方应向甲方支付合同货款总额5%的违约金。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6、乙方所供设备如验收不合格，根据甲方的要求，乙方必须在甲方规定的时间内无条件换货或退货，由此引起的一切损失由乙方承担。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十三、合同的变更和终止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（一）合同变更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1、如因国家相关法律、法规及国家政策发生变化，需变更本合同的，则双方应对相关条款进行依法变更；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（二）合同终止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出现下列情况之一的，合同将终止：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1、合同履行完毕、权利义务关系消灭的；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2、国家法律、法规、条例进行调整，禁止本合同延续的；或合同一方被国家执法机关处罚、查封关闭的；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3、一方严重违约（如乙方逾期供货、质量低下导致甲方使用中存在安全风险，以及可能会造成甲方其他严重后果）的； </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4、发生严重纠纷、事故，影响医疗秩序的或存在严重纠纷、医疗事故隐患的，以及其他严重影响医院声誉情况的；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5、其他国家法律、法规规定的或经双方共同认可的其他可终止合同情况。</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十四、争议的解决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color w:val="000000"/>
          <w:sz w:val="24"/>
          <w:szCs w:val="24"/>
        </w:rPr>
        <w:t xml:space="preserve">十五、其他约定</w:t>
      </w:r>
      <w:r>
        <w:rPr>
          <w:rFonts w:hint="eastAsia" w:cs="宋体" w:asciiTheme="minorEastAsia" w:hAnsiTheme="minorEastAsia"/>
          <w:sz w:val="24"/>
          <w:szCs w:val="24"/>
        </w:rPr>
        <w:t xml:space="preserve">：设备出保后全保费用为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r/>
    </w:p>
    <w:tbl>
      <w:tblPr>
        <w:tblStyle w:val="959"/>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r>
    </w:tbl>
    <w:p>
      <w:pPr>
        <w:ind w:firstLine="480"/>
        <w:spacing w:line="36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十六、合同生效</w:t>
      </w:r>
      <w:r/>
    </w:p>
    <w:p>
      <w:pPr>
        <w:ind w:firstLine="480"/>
        <w:spacing w:line="360" w:lineRule="auto"/>
        <w:rPr>
          <w:rFonts w:hint="eastAsia" w:cs="宋体" w:asciiTheme="minorEastAsia" w:hAnsiTheme="minorEastAsia"/>
          <w:color w:val="000000"/>
          <w:sz w:val="24"/>
          <w:szCs w:val="24"/>
        </w:rPr>
      </w:pPr>
      <w:r>
        <w:rPr>
          <w:rFonts w:hint="eastAsia" w:cs="Times New Roman" w:asciiTheme="minorEastAsia" w:hAnsiTheme="minorEastAsia"/>
          <w:sz w:val="24"/>
          <w:szCs w:val="24"/>
        </w:rPr>
        <w:t xml:space="preserve">本合同和招、投标文件及承诺书，内容互补，</w:t>
      </w:r>
      <w:r>
        <w:rPr>
          <w:rFonts w:hint="eastAsia" w:cs="宋体" w:asciiTheme="minorEastAsia" w:hAnsiTheme="minorEastAsia"/>
          <w:color w:val="000000"/>
          <w:sz w:val="24"/>
          <w:szCs w:val="24"/>
        </w:rPr>
        <w:t xml:space="preserve">具有同等法律效力，应按照中华人民共和国的现行法律进行解释。合同一式肆份，甲方叁份、乙方壹份，自双方签字盖章后生效。</w:t>
      </w:r>
      <w:r/>
    </w:p>
    <w:p>
      <w:pPr>
        <w:ind w:firstLine="361"/>
        <w:spacing w:line="360" w:lineRule="auto"/>
        <w:rPr>
          <w:rFonts w:hint="eastAsia" w:cs="宋体" w:asciiTheme="minorEastAsia" w:hAnsiTheme="minorEastAsia"/>
          <w:color w:val="000000"/>
          <w:sz w:val="18"/>
          <w:szCs w:val="18"/>
        </w:rPr>
      </w:pPr>
      <w:r>
        <w:rPr>
          <w:rFonts w:hint="eastAsia" w:cs="宋体" w:asciiTheme="minorEastAsia" w:hAnsiTheme="minorEastAsia"/>
          <w:color w:val="000000"/>
          <w:sz w:val="18"/>
          <w:szCs w:val="18"/>
        </w:rPr>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甲方：连云港市第一人民医院                乙方：</w:t>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地址：连云港市海州区振华东路6号          地址：</w:t>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电话：0518-85767868                       电话：</w:t>
      </w:r>
      <w:r/>
    </w:p>
    <w:p>
      <w:pPr>
        <w:spacing w:line="360" w:lineRule="auto"/>
        <w:rPr>
          <w:rFonts w:hint="eastAsia" w:cs="宋体" w:asciiTheme="minorEastAsia" w:hAnsiTheme="minorEastAsia"/>
          <w:b/>
          <w:sz w:val="24"/>
          <w:szCs w:val="24"/>
        </w:rPr>
      </w:pPr>
      <w:r>
        <w:fldChar w:fldCharType="begin"/>
      </w:r>
      <w:r>
        <w:instrText xml:space="preserve"> HYPERLINK "mailto:邮箱lygyyzbcgzx@163.com" </w:instrText>
      </w:r>
      <w:r>
        <w:fldChar w:fldCharType="separate"/>
      </w:r>
      <w:r>
        <w:rPr>
          <w:rFonts w:hint="eastAsia" w:cs="宋体" w:asciiTheme="minorEastAsia" w:hAnsiTheme="minorEastAsia"/>
          <w:b/>
          <w:sz w:val="24"/>
        </w:rPr>
        <w:t xml:space="preserve">邮箱</w:t>
      </w:r>
      <w:r>
        <w:rPr>
          <w:rFonts w:hint="eastAsia" w:cs="宋体" w:asciiTheme="minorEastAsia" w:hAnsiTheme="minorEastAsia"/>
          <w:b/>
          <w:sz w:val="24"/>
          <w:szCs w:val="24"/>
          <w:shd w:val="clear" w:color="ffffff" w:fill="auto"/>
        </w:rPr>
        <w:t xml:space="preserve">：</w:t>
      </w:r>
      <w:r>
        <w:rPr>
          <w:rFonts w:hint="eastAsia" w:cs="宋体" w:asciiTheme="minorEastAsia" w:hAnsiTheme="minorEastAsia"/>
          <w:b/>
          <w:sz w:val="24"/>
        </w:rPr>
        <w:t xml:space="preserve">lygyyzbcgzx@163.com</w:t>
      </w:r>
      <w:r>
        <w:rPr>
          <w:rFonts w:hint="eastAsia" w:cs="宋体" w:asciiTheme="minorEastAsia" w:hAnsiTheme="minorEastAsia"/>
          <w:b/>
          <w:sz w:val="24"/>
        </w:rPr>
        <w:fldChar w:fldCharType="end"/>
      </w:r>
      <w:r>
        <w:rPr>
          <w:rFonts w:hint="eastAsia" w:cs="宋体" w:asciiTheme="minorEastAsia" w:hAnsiTheme="minorEastAsia"/>
          <w:b/>
          <w:sz w:val="24"/>
          <w:szCs w:val="24"/>
        </w:rPr>
        <w:t xml:space="preserve">                 邮箱：</w:t>
      </w:r>
      <w:r/>
    </w:p>
    <w:p>
      <w:pPr>
        <w:spacing w:line="60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授权代表：                                授权代表：</w:t>
      </w:r>
      <w:r/>
    </w:p>
    <w:p>
      <w:pPr>
        <w:spacing w:before="165" w:after="165" w:line="360" w:lineRule="auto"/>
        <w:rPr>
          <w:rFonts w:hint="eastAsia" w:cs="宋体" w:asciiTheme="minorEastAsia" w:hAnsiTheme="minorEastAsia"/>
          <w:b/>
          <w:color w:val="000000"/>
          <w:sz w:val="24"/>
          <w:szCs w:val="24"/>
        </w:rPr>
      </w:pPr>
      <w:r>
        <w:rPr>
          <w:rFonts w:hint="eastAsia" w:cs="宋体" w:asciiTheme="minorEastAsia" w:hAnsiTheme="minorEastAsia"/>
          <w:b/>
          <w:sz w:val="24"/>
          <w:szCs w:val="24"/>
        </w:rPr>
        <w:t xml:space="preserve">日    期：    年      月      日          日    期：    年      月      日</w:t>
      </w:r>
      <w:r/>
    </w:p>
    <w:p>
      <w:pPr>
        <w:pStyle w:val="949"/>
        <w:numPr>
          <w:ilvl w:val="0"/>
          <w:numId w:val="0"/>
        </w:numPr>
        <w:rPr>
          <w:rFonts w:hint="eastAsia" w:asciiTheme="minorEastAsia" w:hAnsiTheme="minorEastAsia" w:eastAsiaTheme="minorEastAsia"/>
          <w:sz w:val="24"/>
          <w:szCs w:val="24"/>
        </w:rPr>
      </w:pPr>
      <w:r>
        <w:rPr>
          <w:rFonts w:asciiTheme="minorEastAsia" w:hAnsiTheme="minorEastAsia" w:eastAsiaTheme="minorEastAsia"/>
          <w:szCs w:val="24"/>
        </w:rPr>
        <w:br w:type="page" w:clear="all"/>
      </w:r>
      <w:bookmarkStart w:id="14" w:name="_Toc151625258"/>
      <w:r/>
      <w:bookmarkStart w:id="15" w:name="_Toc139966428"/>
      <w:r/>
      <w:bookmarkStart w:id="16" w:name="_Toc139967212"/>
      <w:r/>
      <w:bookmarkStart w:id="17" w:name="_Toc513622229"/>
      <w:r>
        <w:rPr>
          <w:rFonts w:hint="eastAsia" w:asciiTheme="minorEastAsia" w:hAnsiTheme="minorEastAsia" w:eastAsiaTheme="minorEastAsia"/>
          <w:color w:val="000000"/>
        </w:rPr>
        <w:t xml:space="preserve">第四章投标文件格式</w:t>
      </w:r>
      <w:bookmarkEnd w:id="14"/>
      <w:r/>
      <w:bookmarkEnd w:id="15"/>
      <w:r/>
      <w:bookmarkEnd w:id="16"/>
      <w:r/>
      <w:bookmarkEnd w:id="17"/>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JSZC-320700-ZJZB-G2025-0194</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8" w:name="_Toc139966431"/>
      <w:r/>
      <w:bookmarkStart w:id="19" w:name="_Toc139967215"/>
      <w:r>
        <w:rPr>
          <w:rFonts w:hint="eastAsia" w:cs="Times New Roman" w:asciiTheme="minorEastAsia" w:hAnsiTheme="minorEastAsia"/>
          <w:color w:val="000000"/>
          <w:sz w:val="24"/>
          <w:szCs w:val="24"/>
        </w:rPr>
        <w:t xml:space="preserve">格式1、响应函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响应函</w:t>
      </w:r>
      <w:r/>
    </w:p>
    <w:p>
      <w:pPr>
        <w:ind w:firstLine="482"/>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致：连云港市第一人民医院</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根据贵方项目（项目编号：）招标文件，正式授权下述签字人全权代表参加贵方组织的采购活动，按照招标文件要求提交响应文件。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据此函，签字人兹宣布同意如下：</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1.按招标文件项目需求提交响应报价，报价、交货期等详见开标一览表。</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2.我方同意在本项目招标文件中规定的响应文件递交截止之日起60天内遵守本响应文件中的承诺且在此期限期满之前均具有约束力。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(1)具有独立承担民事责任的能力；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(2)具有良好的商业信誉和健全的财务会计制度；</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(3)具有履行合同所必需的设备和专业技术能力；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(4)有依法缴纳税收和社会保障资金的良好记录；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(5)参加此项采购活动前三年内，在经营活动中没有重大违法记录。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4.我方根据招标文件的规定，承担完成合同的责任和义务。</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5.我方已详细审核招标文件，我方知道必须放弃提出含糊不清或误解问题的权利。</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6.如果在响应文件有效期内撤回或者有其他违约行为，我方的保证金可被贵方全部或部分没收。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7.同意应贵方要求提供与本次采购活动有关的任何数据或资料。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8.我方完全理解，最低报价不是中标（成交）的唯一条件。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9.若贵方需要，我方愿意提供我方作出的一切承诺的证明材料。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(1)提供虚假材料谋取中标、成交的；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(2)采取不正当手段诋毁、排挤其他供应商的；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(3)与采购人、其他供应商或者采购代理机构恶意串通的；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(4)向采购人、采购代理机构行贿或者提供其他不正当利益的；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(5)在招标采购过程中与采购人进行协商谈判的；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(6)拒绝有关部门监督检查或提供虚假情况的。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注：未按照本响应函的格式要求填写的，将造成非实质响应，从而导致该供应商响应无效。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95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rPr>
        <w:t xml:space="preserve">4、本表中事项填写不得有缺失，请如实填写，行数或事项不够，可自行增加。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hint="eastAsia" w:cs="Times New Roman" w:asciiTheme="minorEastAsia" w:hAnsiTheme="minorEastAsia"/>
          <w:b/>
          <w:color w:val="000000"/>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格式6、具备履行合同所必需的设备和专业技术能力的声明及证明材料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格式7、参加政府采购活动前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格式8、法定代表人授权委托书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59"/>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59"/>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格式9、商务条款偏离表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95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格式10、技术参数偏离表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9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格式11、售后服务承诺书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格式12、安装调试方案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格式13、培训方案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格式14、财务状况报告及税收、社会保障资金缴纳情况承诺函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1006"/>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rPr>
      </w:pPr>
      <w:r>
        <w:rPr>
          <w:rFonts w:hint="eastAsia" w:cs="Times New Roman" w:asciiTheme="minorEastAsia" w:hAnsiTheme="minorEastAsia"/>
          <w:color w:val="000000"/>
        </w:rPr>
        <w:t xml:space="preserve">投标人（盖章）：</w:t>
      </w:r>
      <w:r/>
    </w:p>
    <w:p>
      <w:pPr>
        <w:ind w:firstLine="482"/>
        <w:rPr>
          <w:rFonts w:hint="eastAsia" w:cs="Times New Roman" w:asciiTheme="minorEastAsia" w:hAnsiTheme="minorEastAsia"/>
          <w:color w:val="000000"/>
        </w:rPr>
      </w:pPr>
      <w:r>
        <w:rPr>
          <w:rFonts w:hint="eastAsia" w:cs="Times New Roman" w:asciiTheme="minorEastAsia" w:hAnsiTheme="minorEastAsia"/>
          <w:color w:val="000000"/>
        </w:rPr>
        <w:t xml:space="preserve">法定代表人或委托代理人（签字或盖章）：</w:t>
      </w:r>
      <w:r/>
    </w:p>
    <w:p>
      <w:pPr>
        <w:ind w:firstLine="482"/>
        <w:rPr>
          <w:rFonts w:hint="eastAsia" w:cs="Times New Roman" w:asciiTheme="minorEastAsia" w:hAnsiTheme="minorEastAsia"/>
          <w:sz w:val="24"/>
        </w:rPr>
      </w:pPr>
      <w:r>
        <w:rPr>
          <w:rFonts w:hint="eastAsia" w:cs="Times New Roman" w:asciiTheme="minorEastAsia" w:hAnsiTheme="minorEastAsia"/>
          <w:color w:val="000000"/>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格式15、</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r/>
    </w:p>
    <w:p>
      <w:pPr>
        <w:ind w:firstLine="723"/>
        <w:jc w:val="center"/>
        <w:keepLines/>
        <w:keepNext/>
        <w:spacing w:line="360" w:lineRule="auto"/>
        <w:rPr>
          <w:rFonts w:hint="eastAsia" w:cs="Times New Roman" w:asciiTheme="minorEastAsia" w:hAnsiTheme="minorEastAsia"/>
          <w:b/>
          <w:color w:val="000000"/>
          <w:sz w:val="36"/>
          <w:szCs w:val="20"/>
        </w:rPr>
        <w:outlineLvl w:val="0"/>
      </w:pPr>
      <w:r/>
      <w:bookmarkStart w:id="20" w:name="_Toc151625259"/>
      <w:r>
        <w:rPr>
          <w:rFonts w:hint="eastAsia" w:cs="Times New Roman" w:asciiTheme="minorEastAsia" w:hAnsiTheme="minorEastAsia"/>
          <w:b/>
          <w:color w:val="000000"/>
          <w:sz w:val="36"/>
          <w:szCs w:val="20"/>
        </w:rPr>
        <w:t xml:space="preserve">第五章合同专用条款表</w:t>
      </w:r>
      <w:bookmarkEnd w:id="20"/>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本表是对第三章“政府采购合同格式”的补充和修改。如果两者之间有抵触，以本专用条款表为准。</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条款号</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sz w:val="24"/>
                <w:szCs w:val="24"/>
              </w:rPr>
            </w:pPr>
            <w:r>
              <w:rPr>
                <w:rFonts w:hint="eastAsia" w:cs="Times New Roman" w:asciiTheme="minorEastAsia" w:hAnsiTheme="minorEastAsia"/>
                <w:b/>
                <w:sz w:val="24"/>
                <w:szCs w:val="24"/>
              </w:rPr>
              <w:t xml:space="preserve">交货期：30天。</w:t>
            </w:r>
            <w:r/>
          </w:p>
        </w:tc>
      </w:tr>
      <w:tr>
        <w:trPr>
          <w:jc w:val="center"/>
          <w:trHeight w:val="1394"/>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p>
        </w:tc>
        <w:tc>
          <w:tcPr>
            <w:shd w:val="clear" w:color="auto" w:fill="fefefe"/>
            <w:tcW w:w="8529" w:type="dxa"/>
            <w:vAlign w:val="center"/>
            <w:textDirection w:val="lrTb"/>
            <w:noWrap w:val="false"/>
          </w:tcPr>
          <w:p>
            <w:pPr>
              <w:rPr>
                <w:rFonts w:hint="eastAsia" w:asciiTheme="minorEastAsia" w:hAnsiTheme="minorEastAsia"/>
                <w:b/>
                <w:color w:val="000000"/>
                <w:sz w:val="24"/>
              </w:rPr>
            </w:pPr>
            <w:r>
              <w:rPr>
                <w:rFonts w:hint="eastAsia" w:asciiTheme="minorEastAsia" w:hAnsiTheme="minorEastAsia"/>
                <w:b/>
                <w:color w:val="000000"/>
                <w:sz w:val="24"/>
              </w:rPr>
              <w:t xml:space="preserve">原厂质保：不少于2</w:t>
            </w:r>
            <w:r>
              <w:rPr>
                <w:rFonts w:hint="eastAsia" w:asciiTheme="minorEastAsia" w:hAnsiTheme="minorEastAsia"/>
                <w:b/>
                <w:color w:val="000000"/>
                <w:sz w:val="24"/>
              </w:rPr>
              <w:t xml:space="preserve">年。</w:t>
            </w:r>
            <w:r/>
          </w:p>
          <w:p>
            <w:pPr>
              <w:spacing w:line="360" w:lineRule="auto"/>
              <w:rPr>
                <w:rFonts w:hint="eastAsia" w:cs="Times New Roman" w:asciiTheme="minorEastAsia" w:hAnsiTheme="minorEastAsia"/>
                <w:color w:val="000000" w:themeColor="text1"/>
                <w:sz w:val="24"/>
                <w:szCs w:val="24"/>
              </w:rPr>
            </w:pPr>
            <w:r>
              <w:rPr>
                <w:rFonts w:hint="eastAsia" w:asciiTheme="minorEastAsia" w:hAnsiTheme="minorEastAsia"/>
                <w:sz w:val="24"/>
              </w:rPr>
              <w:t xml:space="preserve">免费质保期间，中标人免费包维修、保养、安检、调换等；对于采购方人为原因造成的故障，中标人只收取维保成本费用。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p>
        </w:tc>
        <w:tc>
          <w:tcPr>
            <w:shd w:val="clear" w:color="auto" w:fill="fefefe"/>
            <w:tcW w:w="8529" w:type="dxa"/>
            <w:vAlign w:val="center"/>
            <w:textDirection w:val="lrTb"/>
            <w:noWrap w:val="false"/>
          </w:tcPr>
          <w:p>
            <w:pPr>
              <w:rPr>
                <w:rFonts w:hint="eastAsia" w:cs="Times New Roman" w:asciiTheme="minorEastAsia" w:hAnsiTheme="minorEastAsia"/>
                <w:color w:val="000000"/>
                <w:sz w:val="24"/>
                <w:szCs w:val="24"/>
              </w:rPr>
            </w:pPr>
            <w:r>
              <w:rPr>
                <w:rFonts w:hint="eastAsia" w:asciiTheme="minorEastAsia" w:hAnsiTheme="minorEastAsia"/>
                <w:b/>
                <w:bCs/>
                <w:color w:val="000000"/>
                <w:sz w:val="24"/>
              </w:rPr>
              <w:t xml:space="preserve">付款方式</w:t>
            </w:r>
            <w:r>
              <w:rPr>
                <w:rFonts w:hint="eastAsia" w:asciiTheme="minorEastAsia" w:hAnsiTheme="minorEastAsia"/>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到货后中标人负责安装、调试，采购人负责书面验收。验收合格后，中标人提供免费质保证明，采购人全额支付货物款项。采购人付款前，中标人应向采购人出具符合采购人要求的发票。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违约责任：</w:t>
            </w:r>
            <w:r/>
          </w:p>
          <w:p>
            <w:pPr>
              <w:spacing w:line="360" w:lineRule="auto"/>
              <w:rPr>
                <w:rFonts w:hint="eastAsia" w:cs="Times New Roman" w:asciiTheme="minorEastAsia" w:hAnsiTheme="minorEastAsia"/>
                <w:color w:val="000000"/>
                <w:sz w:val="24"/>
                <w:szCs w:val="24"/>
                <w:highlight w:val="yellow"/>
              </w:rPr>
            </w:pPr>
            <w:r>
              <w:rPr>
                <w:rFonts w:hint="eastAsia" w:cs="Times New Roman" w:asciiTheme="minorEastAsia" w:hAnsiTheme="minorEastAsia"/>
                <w:color w:val="000000"/>
                <w:sz w:val="24"/>
                <w:szCs w:val="24"/>
              </w:rPr>
              <w:t xml:space="preserve">具体违约条款及其它未尽事宜，将在双方签订合同时议定。</w:t>
            </w:r>
            <w:r/>
          </w:p>
        </w:tc>
      </w:tr>
    </w:tbl>
    <w:p>
      <w:pPr>
        <w:ind w:firstLine="482"/>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注：招标文件中标注★号的部分为实质性要求和条件（由采购人根据实际情况设置），投标人必须作出满足或者优于原要求和条件的响应，否则投标无效。</w:t>
      </w:r>
      <w:r/>
    </w:p>
    <w:p>
      <w:pPr>
        <w:ind w:firstLine="723"/>
        <w:jc w:val="center"/>
        <w:keepLines/>
        <w:keepNext/>
        <w:spacing w:line="360" w:lineRule="auto"/>
        <w:rPr>
          <w:rFonts w:hint="eastAsia" w:cs="Times New Roman" w:asciiTheme="minorEastAsia" w:hAnsiTheme="minorEastAsia"/>
          <w:color w:val="000000"/>
          <w:sz w:val="36"/>
          <w:szCs w:val="20"/>
        </w:rPr>
        <w:outlineLvl w:val="0"/>
      </w:pPr>
      <w:r>
        <w:rPr>
          <w:rFonts w:cs="Times New Roman" w:asciiTheme="minorEastAsia" w:hAnsiTheme="minorEastAsia"/>
          <w:bCs/>
          <w:color w:val="000000"/>
          <w:sz w:val="36"/>
          <w:szCs w:val="20"/>
        </w:rPr>
        <w:br w:type="page" w:clear="all"/>
      </w:r>
      <w:bookmarkEnd w:id="18"/>
      <w:r/>
      <w:bookmarkEnd w:id="19"/>
      <w:r/>
      <w:bookmarkStart w:id="21" w:name="_Toc151625260"/>
      <w:r/>
      <w:bookmarkStart w:id="22" w:name="_Toc513622230"/>
      <w:r>
        <w:rPr>
          <w:rFonts w:hint="eastAsia" w:cs="Times New Roman" w:asciiTheme="minorEastAsia" w:hAnsiTheme="minorEastAsia"/>
          <w:color w:val="000000"/>
          <w:sz w:val="36"/>
          <w:szCs w:val="20"/>
        </w:rPr>
        <w:t xml:space="preserve">第六章项目需求</w:t>
      </w:r>
      <w:bookmarkEnd w:id="21"/>
      <w:r/>
      <w:bookmarkEnd w:id="22"/>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3" w:name="_Toc513622231"/>
      <w:r/>
      <w:bookmarkStart w:id="24" w:name="_Toc139966433"/>
      <w:r/>
      <w:bookmarkStart w:id="25" w:name="_Toc139967217"/>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本次采购的内容为连云港市第一人民医院</w:t>
      </w:r>
      <w:r>
        <w:rPr>
          <w:rFonts w:hint="eastAsia" w:cs="宋体" w:asciiTheme="minorEastAsia" w:hAnsiTheme="minorEastAsia"/>
          <w:b/>
          <w:sz w:val="24"/>
          <w:szCs w:val="24"/>
          <w:lang w:eastAsia="zh-CN"/>
        </w:rPr>
        <w:t xml:space="preserve">实时荧光定量PCR系统</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983"/>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060"/>
        <w:gridCol w:w="1017"/>
        <w:gridCol w:w="900"/>
        <w:gridCol w:w="1800"/>
        <w:gridCol w:w="1800"/>
      </w:tblGrid>
      <w:tr>
        <w:trPr>
          <w:jc w:val="center"/>
          <w:trHeight w:val="636"/>
        </w:trPr>
        <w:tc>
          <w:tcPr>
            <w:tcW w:w="936"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序号</w:t>
            </w:r>
            <w:r/>
          </w:p>
        </w:tc>
        <w:tc>
          <w:tcPr>
            <w:tcW w:w="306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名称</w:t>
            </w:r>
            <w:r/>
          </w:p>
        </w:tc>
        <w:tc>
          <w:tcPr>
            <w:tcW w:w="1017"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数量</w:t>
            </w:r>
            <w:r/>
          </w:p>
        </w:tc>
        <w:tc>
          <w:tcPr>
            <w:tcW w:w="90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单位</w:t>
            </w:r>
            <w:r/>
          </w:p>
        </w:tc>
        <w:tc>
          <w:tcPr>
            <w:tcW w:w="180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预算（万元）</w:t>
            </w:r>
            <w:r/>
          </w:p>
        </w:tc>
        <w:tc>
          <w:tcPr>
            <w:tcW w:w="180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lang w:eastAsia="zh-CN"/>
              </w:rPr>
              <w:t xml:space="preserve">最高限价</w:t>
            </w:r>
            <w:r>
              <w:rPr>
                <w:rFonts w:hint="eastAsia" w:eastAsia="宋体" w:cs="宋体" w:asciiTheme="minorEastAsia" w:hAnsiTheme="minorEastAsia"/>
                <w:b/>
                <w:bCs/>
                <w:sz w:val="24"/>
                <w:szCs w:val="24"/>
              </w:rPr>
              <w:t xml:space="preserve">（万元）</w:t>
            </w:r>
            <w:r/>
          </w:p>
        </w:tc>
      </w:tr>
      <w:tr>
        <w:trPr>
          <w:jc w:val="center"/>
        </w:trPr>
        <w:tc>
          <w:tcPr>
            <w:tcW w:w="936"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1</w:t>
            </w:r>
            <w:r/>
          </w:p>
        </w:tc>
        <w:tc>
          <w:tcPr>
            <w:tcW w:w="3060"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b/>
                <w:sz w:val="24"/>
                <w:szCs w:val="24"/>
                <w:lang w:eastAsia="zh-CN"/>
              </w:rPr>
              <w:t xml:space="preserve">实时荧光定量PCR系统</w:t>
            </w:r>
            <w:r/>
          </w:p>
        </w:tc>
        <w:tc>
          <w:tcPr>
            <w:tcW w:w="1017"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sz w:val="24"/>
                <w:szCs w:val="24"/>
                <w:lang w:val="en-US" w:eastAsia="zh-CN"/>
              </w:rPr>
              <w:t xml:space="preserve">1</w:t>
            </w:r>
            <w:r/>
          </w:p>
        </w:tc>
        <w:tc>
          <w:tcPr>
            <w:tcW w:w="900"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台</w:t>
            </w:r>
            <w:r/>
          </w:p>
        </w:tc>
        <w:tc>
          <w:tcPr>
            <w:tcW w:w="1800" w:type="dxa"/>
            <w:vAlign w:val="center"/>
            <w:textDirection w:val="lrTb"/>
            <w:noWrap w:val="false"/>
          </w:tcPr>
          <w:p>
            <w:pPr>
              <w:jc w:val="center"/>
              <w:spacing w:line="360" w:lineRule="auto"/>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65</w:t>
            </w:r>
            <w:r/>
          </w:p>
        </w:tc>
        <w:tc>
          <w:tcPr>
            <w:tcW w:w="1800" w:type="dxa"/>
            <w:vAlign w:val="center"/>
            <w:textDirection w:val="lrTb"/>
            <w:noWrap w:val="false"/>
          </w:tcPr>
          <w:p>
            <w:pPr>
              <w:jc w:val="center"/>
              <w:spacing w:line="360" w:lineRule="auto"/>
              <w:rPr>
                <w:rFonts w:hint="eastAsia"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55</w:t>
            </w:r>
            <w:r/>
          </w:p>
        </w:tc>
      </w:tr>
    </w:tbl>
    <w:p>
      <w:pPr>
        <w:ind w:firstLine="472"/>
        <w:spacing w:line="360" w:lineRule="auto"/>
        <w:rPr>
          <w:rFonts w:ascii="Calibri" w:hAnsi="Calibri" w:eastAsia="宋体" w:cs="宋体"/>
          <w:b/>
          <w:color w:val="000000" w:themeColor="text1"/>
          <w:sz w:val="24"/>
          <w:szCs w:val="24"/>
        </w:rPr>
      </w:pPr>
      <w:r>
        <w:rPr>
          <w:rFonts w:hint="eastAsia" w:ascii="Calibri" w:hAnsi="Calibri" w:eastAsia="宋体" w:cs="宋体"/>
          <w:b/>
          <w:sz w:val="24"/>
          <w:szCs w:val="24"/>
        </w:rPr>
        <w:t xml:space="preserve">二、技术参数要求</w:t>
      </w:r>
      <w:r>
        <w:rPr>
          <w:rFonts w:hint="eastAsia" w:cs="宋体" w:asciiTheme="minorEastAsia" w:hAnsiTheme="minorEastAsia"/>
          <w:b/>
          <w:color w:val="000000" w:themeColor="text1"/>
          <w:sz w:val="24"/>
          <w:szCs w:val="24"/>
        </w:rPr>
        <w:t xml:space="preserve">（</w:t>
      </w:r>
      <w:r>
        <w:rPr>
          <w:rFonts w:hint="eastAsia" w:ascii="宋体" w:hAnsi="宋体" w:eastAsia="宋体" w:cs="宋体"/>
          <w:b/>
          <w:sz w:val="24"/>
          <w:szCs w:val="24"/>
        </w:rPr>
        <w:t xml:space="preserve">加“★”项为实质性要求和条件，必须提供明确的佐证材料证明（例：产品说明书、彩页、检测报告等），不满足视为无效响应文件，自行承诺符合要求不予认可；</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加“▲”项为重要指标（允许负偏离），其余项为一般响应指标。投标人应逐一列出所有参数性能配置等偏离情况，并提供明确的佐证材料证明（包括但不限于：产品说明书、彩页、检测报告、注册证等；</w:t>
      </w:r>
      <w:r>
        <w:rPr>
          <w:rFonts w:hint="eastAsia" w:ascii="宋体" w:hAnsi="宋体" w:eastAsia="宋体" w:cs="宋体"/>
          <w:b/>
          <w:bCs/>
          <w:color w:val="ff0000"/>
          <w:sz w:val="24"/>
          <w:szCs w:val="24"/>
        </w:rPr>
        <w:t xml:space="preserve">投标文件中提供的证明材</w:t>
      </w:r>
      <w:bookmarkStart w:id="27" w:name="_GoBack"/>
      <w:r/>
      <w:bookmarkEnd w:id="27"/>
      <w:r>
        <w:rPr>
          <w:rFonts w:hint="eastAsia" w:ascii="宋体" w:hAnsi="宋体" w:eastAsia="宋体" w:cs="宋体"/>
          <w:b/>
          <w:bCs/>
          <w:color w:val="ff0000"/>
          <w:sz w:val="24"/>
          <w:szCs w:val="24"/>
        </w:rPr>
        <w:t xml:space="preserve">料内容须自行标识注明对应参数条款（下划线或其他形式标注说明），未对证明材料标注或标注不明确视为未提供证明材料</w:t>
      </w:r>
      <w:r>
        <w:rPr>
          <w:rFonts w:hint="eastAsia" w:ascii="宋体" w:hAnsi="宋体" w:eastAsia="宋体" w:cs="宋体"/>
          <w:b/>
          <w:bCs/>
          <w:sz w:val="24"/>
          <w:szCs w:val="24"/>
        </w:rPr>
        <w:t xml:space="preserve">，自行承诺符合要求不予认可。</w:t>
      </w:r>
      <w:r>
        <w:rPr>
          <w:rFonts w:hint="eastAsia" w:cs="宋体" w:asciiTheme="minorEastAsia" w:hAnsiTheme="minorEastAsia"/>
          <w:b/>
          <w:color w:val="000000" w:themeColor="text1"/>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★1、荧光通道数：≥5个检测通道，可实现≥5重PCR，可同时检测≥5个靶基因 </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sz w:val="24"/>
          <w:szCs w:val="24"/>
        </w:rPr>
        <w:t xml:space="preserve">★2、</w:t>
      </w:r>
      <w:r>
        <w:rPr>
          <w:rFonts w:hint="eastAsia" w:cs="宋体" w:asciiTheme="minorEastAsia" w:hAnsiTheme="minorEastAsia"/>
          <w:color w:val="auto"/>
          <w:sz w:val="24"/>
          <w:szCs w:val="24"/>
        </w:rPr>
        <w:t xml:space="preserve">模块规格≥38</w:t>
      </w:r>
      <w:r>
        <w:rPr>
          <w:rFonts w:hint="eastAsia" w:cs="宋体" w:asciiTheme="minorEastAsia" w:hAnsiTheme="minorEastAsia"/>
          <w:color w:val="auto"/>
          <w:sz w:val="24"/>
          <w:szCs w:val="24"/>
          <w:lang w:val="en-US" w:eastAsia="zh-CN"/>
        </w:rPr>
        <w:t xml:space="preserve">0</w:t>
      </w:r>
      <w:r>
        <w:rPr>
          <w:rFonts w:hint="eastAsia" w:cs="宋体" w:asciiTheme="minorEastAsia" w:hAnsiTheme="minorEastAsia"/>
          <w:color w:val="auto"/>
          <w:sz w:val="24"/>
          <w:szCs w:val="24"/>
        </w:rPr>
        <w:t xml:space="preserve">模块，样品容量≥38</w:t>
      </w:r>
      <w:r>
        <w:rPr>
          <w:rFonts w:hint="eastAsia" w:cs="宋体" w:asciiTheme="minorEastAsia" w:hAnsiTheme="minorEastAsia"/>
          <w:color w:val="auto"/>
          <w:sz w:val="24"/>
          <w:szCs w:val="24"/>
          <w:lang w:val="en-US" w:eastAsia="zh-CN"/>
        </w:rPr>
        <w:t xml:space="preserve">0</w:t>
      </w:r>
      <w:r>
        <w:rPr>
          <w:rFonts w:hint="eastAsia" w:cs="宋体" w:asciiTheme="minorEastAsia" w:hAnsiTheme="minorEastAsia"/>
          <w:color w:val="auto"/>
          <w:sz w:val="24"/>
          <w:szCs w:val="24"/>
        </w:rPr>
        <w:t xml:space="preserve">孔</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3、光学系统：高亮度白光LED光源(工作寿命</w:t>
      </w:r>
      <w:r>
        <w:rPr>
          <w:rFonts w:hint="eastAsia" w:cs="宋体" w:asciiTheme="minorEastAsia" w:hAnsiTheme="minorEastAsia"/>
          <w:color w:val="auto"/>
          <w:sz w:val="24"/>
          <w:szCs w:val="24"/>
          <w:lang w:val="en-US" w:eastAsia="zh-CN"/>
        </w:rPr>
        <w:t xml:space="preserve">＞</w:t>
      </w:r>
      <w:r>
        <w:rPr>
          <w:rFonts w:hint="eastAsia" w:cs="宋体" w:asciiTheme="minorEastAsia" w:hAnsiTheme="minorEastAsia"/>
          <w:color w:val="auto"/>
          <w:sz w:val="24"/>
          <w:szCs w:val="24"/>
        </w:rPr>
        <w:t xml:space="preserve">5年)</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4、试剂、耗材完全开放，各种科研和临床试剂适用</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5、反应体系：5-20µl</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▲6、检测器：冷CCD或者CMOS</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7、升降温速度：≥6.5℃/秒</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▲8、温控范围≥4-100℃</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9、温度准确性：≤±0.25℃</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10、温度均一性：≤±0.4℃</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11、精密度（分辨率）：最低可分辨1.5倍拷贝数差异，置信度≥99.7%</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11、支持HRM应用，高分辨熔解曲线分辨率：≤0.015°C</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▲12、适用于多种荧光方法，如FAM™, SYBR® Green I, VIC®, NED, ABY, JUN, Mustang Purple, TAMRA, Cy5, and ROX™ dyes</w:t>
      </w:r>
      <w:r>
        <w:rPr>
          <w:rFonts w:hint="eastAsia" w:cs="宋体" w:asciiTheme="minorEastAsia" w:hAnsiTheme="minorEastAsia"/>
          <w:color w:val="auto"/>
          <w:sz w:val="24"/>
          <w:szCs w:val="24"/>
          <w:lang w:val="en-US" w:eastAsia="zh-CN"/>
        </w:rPr>
        <w:t xml:space="preserve">等</w:t>
      </w:r>
      <w:r>
        <w:rPr>
          <w:rFonts w:hint="eastAsia" w:cs="宋体" w:asciiTheme="minorEastAsia" w:hAnsiTheme="minorEastAsia"/>
          <w:color w:val="auto"/>
          <w:sz w:val="24"/>
          <w:szCs w:val="24"/>
        </w:rPr>
        <w:t xml:space="preserve">，能同时检测并区分VIC荧光和TAMRA荧光，以用于TaqMan基因拷贝数(CNV)检测。</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13、被动参照染料：支持ROX荧光校正去除误差。</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14、支持单机运行模式，可连接或不连接电脑，直接定义运行程序，并存储数据结果。</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15、软件支持：①基于标准曲线的绝对定量、相对标准曲线、基于比较Ct值的相对定量、融解曲线分析、存在/不存在 、基于或非基于实时扩增的基因分型；②基于荧光定量PCR的蛋白表达分析功能、基于荧光定量PCR的Non-coding RNA和microRNA分析、基于荧光定量PCR的基因拷贝数（CNV）分析、基于荧光定量PCR的肿瘤稀有突变分析、可检测占背景野生型细胞0.1%的微量突变细胞或DNA、基于荧光定量PCR的蛋白溶解曲线分析；单细胞基因分析(single cell analysis)。</w:t>
      </w:r>
      <w:r/>
    </w:p>
    <w:p>
      <w:pPr>
        <w:ind w:firstLine="482"/>
        <w:jc w:val="left"/>
        <w:spacing w:line="360" w:lineRule="auto"/>
        <w:rPr>
          <w:rFonts w:hint="eastAsia" w:cs="宋体" w:asciiTheme="minorEastAsia" w:hAnsiTheme="minorEastAsia"/>
          <w:color w:val="auto"/>
          <w:sz w:val="24"/>
          <w:szCs w:val="24"/>
        </w:rPr>
      </w:pPr>
      <w:r>
        <w:rPr>
          <w:rFonts w:hint="eastAsia" w:cs="宋体" w:asciiTheme="minorEastAsia" w:hAnsiTheme="minorEastAsia"/>
          <w:color w:val="auto"/>
          <w:sz w:val="24"/>
          <w:szCs w:val="24"/>
        </w:rPr>
        <w:t xml:space="preserve">16、配备工作站（含电脑、分析软件）</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三、供货要求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（1）交货期：30天。</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（5）投标人须提供操作手册,维护手册等。</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四、安装调试要求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（1）所有货物的款式、设计、版型、颜色需经采购人认可后方可生产供货。</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（10）在货物到达采购人指定地点后,投标人须在7天内派专业工程师到达现场,提供安装、调试等服务,协助采购人组织验收，并承担相关费用。</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五、国家或行业相关规范标准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（2）必须通过国家安装规范和验收规范。</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六、人员配备要求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七、履约验收要求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八、培训要求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（2）投标人在投标时须对产品质量及服务做出维保承诺，为采购人提供人员培训计划，所需费用含本次报价中。</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九、售后服务要求</w:t>
      </w:r>
      <w:r/>
    </w:p>
    <w:p>
      <w:pPr>
        <w:ind w:firstLine="482"/>
        <w:spacing w:line="360" w:lineRule="auto"/>
        <w:rPr>
          <w:rFonts w:hint="eastAsia" w:cs="宋体" w:asciiTheme="minorEastAsia" w:hAnsiTheme="minorEastAsia"/>
          <w:sz w:val="24"/>
        </w:rPr>
      </w:pPr>
      <w:r>
        <w:rPr>
          <w:rFonts w:hint="eastAsia" w:cs="宋体" w:asciiTheme="minorEastAsia" w:hAnsiTheme="minorEastAsia"/>
          <w:sz w:val="24"/>
          <w:szCs w:val="24"/>
        </w:rPr>
        <w:t xml:space="preserve">（1）</w:t>
      </w:r>
      <w:r>
        <w:rPr>
          <w:rFonts w:hint="eastAsia" w:cs="宋体" w:asciiTheme="minorEastAsia" w:hAnsiTheme="minorEastAsia"/>
          <w:color w:val="000000"/>
          <w:sz w:val="24"/>
        </w:rPr>
        <w:t xml:space="preserve">原厂质保期≥</w:t>
      </w:r>
      <w:r>
        <w:rPr>
          <w:rFonts w:hint="eastAsia" w:cs="宋体" w:asciiTheme="minorEastAsia" w:hAnsiTheme="minorEastAsia"/>
          <w:color w:val="ff0000"/>
          <w:sz w:val="24"/>
          <w:lang w:val="en-US" w:eastAsia="zh-CN"/>
        </w:rPr>
        <w:t xml:space="preserve">2</w:t>
      </w:r>
      <w:r>
        <w:rPr>
          <w:rFonts w:hint="eastAsia" w:cs="宋体" w:asciiTheme="minorEastAsia" w:hAnsiTheme="minorEastAsia"/>
          <w:color w:val="000000"/>
          <w:sz w:val="24"/>
        </w:rPr>
        <w:t xml:space="preserve">年，货物及配件质保期内免费提供维修</w:t>
      </w:r>
      <w:r>
        <w:rPr>
          <w:rFonts w:hint="eastAsia" w:cs="宋体" w:asciiTheme="minorEastAsia" w:hAnsiTheme="minorEastAsia"/>
          <w:sz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（4）在质保期内，中标人应无条件提供产品维修及保养服务，</w:t>
      </w:r>
      <w:r>
        <w:rPr>
          <w:rFonts w:hint="eastAsia" w:cs="宋体" w:asciiTheme="minorEastAsia" w:hAnsiTheme="minorEastAsia"/>
          <w:color w:val="ff0000"/>
          <w:sz w:val="24"/>
          <w:szCs w:val="24"/>
        </w:rPr>
        <w:t xml:space="preserve">每年上门检修、保养一次，并出具报告</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rPr>
        <w:t xml:space="preserve">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合同约上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（7）培训需使产品使用人充分了解产品构成、基本原理，并熟练掌握产品的安装、运行和维护等。</w:t>
      </w:r>
      <w:r/>
    </w:p>
    <w:p>
      <w:pPr>
        <w:pStyle w:val="100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（8）投标人应在国内设有维修备件库,质保期满后，能根据采购人要求提供充足的备品、备件。</w:t>
      </w:r>
      <w:r/>
    </w:p>
    <w:p>
      <w:pPr>
        <w:pStyle w:val="100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（9）在质保期内，中标人需对所提供的货物定期检查和保养，并且保证每年上门检修、保养一次，并出具报告，不再向采购人收取费用。</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十、投标报价要求</w:t>
      </w:r>
      <w:r/>
    </w:p>
    <w:p>
      <w:pPr>
        <w:pStyle w:val="100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100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十一、其他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（2）付款方式：到货后中标人负责安装、调试，采购人负责书面验收。验收合格后，中标人提供免费保修证明，采购人全额支付货物款项。采购人付款前，中标人应向采购人出具符合采购人要求的发票。</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949"/>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6" w:name="_Toc151625261"/>
      <w:r>
        <w:rPr>
          <w:rFonts w:hint="eastAsia" w:asciiTheme="minorEastAsia" w:hAnsiTheme="minorEastAsia" w:eastAsiaTheme="minorEastAsia"/>
          <w:color w:val="000000"/>
        </w:rPr>
        <w:t xml:space="preserve">第七章评标办法</w:t>
      </w:r>
      <w:bookmarkEnd w:id="23"/>
      <w:r/>
      <w:bookmarkEnd w:id="26"/>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4"/>
      <w:r/>
      <w:bookmarkEnd w:id="25"/>
      <w:r/>
      <w:r/>
    </w:p>
    <w:tbl>
      <w:tblPr>
        <w:tblStyle w:val="959"/>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1266"/>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34</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w:t>
            </w:r>
            <w:r>
              <w:rPr>
                <w:rFonts w:hint="eastAsia" w:cs="Times New Roman" w:asciiTheme="minorEastAsia" w:hAnsiTheme="minorEastAsia"/>
                <w:sz w:val="24"/>
                <w:szCs w:val="24"/>
                <w:lang w:val="en-US" w:eastAsia="zh-CN"/>
              </w:rPr>
              <w:t xml:space="preserve">34</w:t>
            </w:r>
            <w:r>
              <w:rPr>
                <w:rFonts w:hint="eastAsia" w:cs="Times New Roman" w:asciiTheme="minorEastAsia" w:hAnsiTheme="minorEastAsia"/>
                <w:sz w:val="24"/>
                <w:szCs w:val="24"/>
              </w:rPr>
              <w:t xml:space="preserve">分。</w:t>
            </w:r>
            <w:r>
              <w:rPr>
                <w:rFonts w:hint="eastAsia" w:ascii="宋体" w:hAnsi="宋体" w:eastAsia="宋体" w:cs="Times New Roman"/>
                <w:sz w:val="24"/>
                <w:szCs w:val="24"/>
              </w:rPr>
              <w:t xml:space="preserve">每一项重要响应指标偏离（缺、漏项视为负偏离）扣</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分；每一项一般响应指标偏离（缺、漏项视为负偏离）扣2分。本项最高得</w:t>
            </w:r>
            <w:r>
              <w:rPr>
                <w:rFonts w:hint="eastAsia" w:ascii="宋体" w:hAnsi="宋体" w:eastAsia="宋体" w:cs="Times New Roman"/>
                <w:sz w:val="24"/>
                <w:szCs w:val="24"/>
                <w:lang w:val="en-US" w:eastAsia="zh-CN"/>
              </w:rPr>
              <w:t xml:space="preserve">34</w:t>
            </w:r>
            <w:r>
              <w:rPr>
                <w:rFonts w:hint="eastAsia" w:ascii="宋体" w:hAnsi="宋体" w:eastAsia="宋体" w:cs="Times New Roman"/>
                <w:sz w:val="24"/>
                <w:szCs w:val="24"/>
              </w:rPr>
              <w:t xml:space="preserve">分,最低得0分</w:t>
            </w:r>
            <w:r>
              <w:rPr>
                <w:rFonts w:hint="eastAsia" w:cs="Times New Roman" w:asciiTheme="minorEastAsia" w:hAnsiTheme="minorEastAsia"/>
                <w:sz w:val="24"/>
                <w:szCs w:val="24"/>
              </w:rPr>
              <w:t xml:space="preserve">。</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rPr>
              <w:t xml:space="preserve">投标人应逐一列出所有参数</w:t>
            </w:r>
            <w:r>
              <w:rPr>
                <w:rFonts w:hint="eastAsia" w:cs="Times New Roman" w:asciiTheme="minorEastAsia" w:hAnsiTheme="minorEastAsia"/>
                <w:b/>
                <w:color w:val="000000" w:themeColor="text1"/>
                <w:sz w:val="24"/>
                <w:szCs w:val="24"/>
              </w:rPr>
              <w:t xml:space="preserve">性能配置等偏离情况</w:t>
            </w:r>
            <w:r>
              <w:rPr>
                <w:rFonts w:hint="eastAsia" w:ascii="宋体" w:hAnsi="宋体" w:eastAsia="宋体" w:cs="宋体"/>
                <w:b/>
                <w:bCs/>
                <w:color w:val="000000" w:themeColor="text1"/>
                <w:sz w:val="24"/>
                <w:szCs w:val="24"/>
              </w:rPr>
              <w:t xml:space="preserve">，并提供明确的佐证材料证明（包括但不限于：产品说明书、彩页、检测报告、注册证等；</w:t>
            </w:r>
            <w:r>
              <w:rPr>
                <w:rFonts w:hint="eastAsia" w:cs="Times New Roman" w:asciiTheme="minorEastAsia" w:hAnsiTheme="minorEastAsia"/>
                <w:b/>
                <w:color w:val="ff0000"/>
                <w:sz w:val="24"/>
                <w:szCs w:val="24"/>
              </w:rPr>
              <w:t xml:space="preserve">投标文件中提供的证明材料内容须用标识标注说明对应参数条款（下划线或其他形式标注说明），未对证明材料标注或标注不明确视为未提供证明材料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rPr>
              <w:t xml:space="preserve">，自行承诺符合要求不予认可。</w:t>
            </w:r>
            <w:r/>
          </w:p>
        </w:tc>
      </w:tr>
      <w:tr>
        <w:trPr>
          <w:jc w:val="center"/>
          <w:trHeight w:val="97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投标人提供《安装调试方案》,包含但不限于项目实施计划、人员安排、时间进度和应急保障计划等相关内容：</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方案内容完整，措施科学合理，可实施性强的得5-</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方案内容较完整，措施较科学合理，实施性较强的，得3-4分；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方案有缺项，未完全包含相关内容，科学性、合理性一般，可实施性一般的，得1-2分。</w:t>
            </w:r>
            <w:r/>
          </w:p>
          <w:p>
            <w:pPr>
              <w:pStyle w:val="96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97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根据招标文件中免费质保期的相关要求，满足文件要求的基础上每增加1年加2分。</w:t>
            </w:r>
            <w:r/>
          </w:p>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本项最高得</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r>
      <w:tr>
        <w:trPr>
          <w:jc w:val="center"/>
          <w:trHeight w:val="1975"/>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投标人提供售后服务方案（承诺）：</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到达故障现场时间以及定期维护、定期回访(注明时间)、</w:t>
            </w:r>
            <w:r>
              <w:rPr>
                <w:rFonts w:hint="eastAsia" w:asciiTheme="minorEastAsia" w:hAnsiTheme="minorEastAsia"/>
                <w:color w:val="ff0000"/>
                <w:sz w:val="24"/>
                <w:szCs w:val="24"/>
              </w:rPr>
              <w:t xml:space="preserve">出保后全保费用、</w:t>
            </w:r>
            <w:r>
              <w:rPr>
                <w:rFonts w:hint="eastAsia" w:asciiTheme="minorEastAsia" w:hAnsiTheme="minorEastAsia"/>
                <w:sz w:val="24"/>
                <w:szCs w:val="24"/>
              </w:rPr>
              <w:t xml:space="preserve">质保期外维修时零配件优惠折扣率、及其他优惠等内容，保养、维修非常便利，</w:t>
            </w:r>
            <w:r>
              <w:rPr>
                <w:rFonts w:hint="eastAsia" w:asciiTheme="minorEastAsia" w:hAnsiTheme="minorEastAsia"/>
                <w:color w:val="ff0000"/>
                <w:sz w:val="24"/>
                <w:szCs w:val="24"/>
              </w:rPr>
              <w:t xml:space="preserve">配件优惠折扣率大</w:t>
            </w:r>
            <w:r>
              <w:rPr>
                <w:rFonts w:hint="eastAsia" w:asciiTheme="minorEastAsia" w:hAnsiTheme="minorEastAsia"/>
                <w:sz w:val="24"/>
                <w:szCs w:val="24"/>
              </w:rPr>
              <w:t xml:space="preserve">，得5-</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w:t>
            </w:r>
            <w:r>
              <w:rPr>
                <w:rFonts w:hint="eastAsia" w:asciiTheme="minorEastAsia" w:hAnsiTheme="minorEastAsia"/>
                <w:color w:val="ff0000"/>
                <w:sz w:val="24"/>
                <w:szCs w:val="24"/>
              </w:rPr>
              <w:t xml:space="preserve">出保后全保费用、</w:t>
            </w:r>
            <w:r>
              <w:rPr>
                <w:rFonts w:hint="eastAsia" w:asciiTheme="minorEastAsia" w:hAnsiTheme="minorEastAsia"/>
                <w:sz w:val="24"/>
                <w:szCs w:val="24"/>
              </w:rPr>
              <w:t xml:space="preserve">质保期外维修时零配件优惠折扣率及其他优惠等内容，操作使用较为简单，保养、维修较为便利，</w:t>
            </w:r>
            <w:r>
              <w:rPr>
                <w:rFonts w:hint="eastAsia" w:asciiTheme="minorEastAsia" w:hAnsiTheme="minorEastAsia"/>
                <w:color w:val="ff0000"/>
                <w:sz w:val="24"/>
                <w:szCs w:val="24"/>
              </w:rPr>
              <w:t xml:space="preserve">配件优惠折扣率较大，</w:t>
            </w:r>
            <w:r>
              <w:rPr>
                <w:rFonts w:hint="eastAsia" w:asciiTheme="minorEastAsia" w:hAnsiTheme="minorEastAsia"/>
                <w:sz w:val="24"/>
                <w:szCs w:val="24"/>
              </w:rPr>
              <w:t xml:space="preserve">得3-4分；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w:t>
            </w:r>
            <w:r>
              <w:rPr>
                <w:rFonts w:hint="eastAsia" w:asciiTheme="minorEastAsia" w:hAnsiTheme="minorEastAsia"/>
                <w:color w:val="ff0000"/>
                <w:sz w:val="24"/>
                <w:szCs w:val="24"/>
              </w:rPr>
              <w:t xml:space="preserve">出保后全保费用、</w:t>
            </w:r>
            <w:r>
              <w:rPr>
                <w:rFonts w:hint="eastAsia" w:asciiTheme="minorEastAsia" w:hAnsiTheme="minorEastAsia"/>
                <w:sz w:val="24"/>
                <w:szCs w:val="24"/>
              </w:rPr>
              <w:t xml:space="preserve">质保期外维修时零配件优惠折扣率、及其他优惠等内容缺项，操作、使用比较复杂，保养、维修不便利，</w:t>
            </w:r>
            <w:r>
              <w:rPr>
                <w:rFonts w:hint="eastAsia" w:asciiTheme="minorEastAsia" w:hAnsiTheme="minorEastAsia"/>
                <w:color w:val="ff0000"/>
                <w:sz w:val="24"/>
                <w:szCs w:val="24"/>
              </w:rPr>
              <w:t xml:space="preserve">配件优惠折扣率一般，</w:t>
            </w:r>
            <w:r>
              <w:rPr>
                <w:rFonts w:hint="eastAsia" w:asciiTheme="minorEastAsia" w:hAnsiTheme="minorEastAsia"/>
                <w:sz w:val="24"/>
                <w:szCs w:val="24"/>
              </w:rPr>
              <w:t xml:space="preserve">得1-2分。</w:t>
            </w:r>
            <w:r/>
          </w:p>
          <w:p>
            <w:pPr>
              <w:pStyle w:val="96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766"/>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投标人提供《培训方案》,包含但不限于培训计划、技术人员能力、时间安排等相关内容：</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方案内容完整，可实施性强的得5-</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方案内容较完整，实施性较强的，得3-4分；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方案有缺项，未完全包含相关内容，可实施性一般的，得1-2分。</w:t>
            </w:r>
            <w:r/>
          </w:p>
          <w:p>
            <w:pPr>
              <w:pStyle w:val="96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390"/>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依据投标文件中备品备件是否齐全、供应是否及时、价格是否合理及后期使用、保养、维护成本等进行评价。</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合理、可行性、针对性强的得5-6分；</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较合理、可行性、针对性一般的得3-4分；</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不合理、可行性、针对性差的得</w:t>
            </w:r>
            <w:r>
              <w:rPr>
                <w:rFonts w:hint="eastAsia" w:asciiTheme="minorEastAsia" w:hAnsiTheme="minorEastAsia"/>
                <w:sz w:val="24"/>
                <w:szCs w:val="24"/>
                <w:lang w:val="en-US" w:eastAsia="zh-CN"/>
              </w:rPr>
              <w:t xml:space="preserve">1-2</w:t>
            </w:r>
            <w:r>
              <w:rPr>
                <w:rFonts w:hint="eastAsia" w:asciiTheme="minorEastAsia" w:hAnsiTheme="minorEastAsia"/>
                <w:sz w:val="24"/>
                <w:szCs w:val="24"/>
              </w:rPr>
              <w:t xml:space="preserve">分。</w:t>
            </w:r>
            <w:r/>
          </w:p>
          <w:p>
            <w:pPr>
              <w:pStyle w:val="96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1955"/>
        </w:trPr>
        <w:tc>
          <w:tcPr>
            <w:tcW w:w="1404" w:type="dxa"/>
            <w:vAlign w:val="center"/>
            <w:textDirection w:val="lrTb"/>
            <w:noWrap w:val="false"/>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906" w:type="dxa"/>
            <w:vAlign w:val="center"/>
            <w:textDirection w:val="lrTb"/>
            <w:noWrap w:val="false"/>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投标人或生产厂家自 2022年1月1日起至今（以合同签订时间为准）具有同类产品的业绩合同，每提供一份业绩得1分，本项最高得5分。</w:t>
            </w:r>
            <w:r/>
          </w:p>
          <w:p>
            <w:pPr>
              <w:pStyle w:val="96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bl>
    <w:p>
      <w:pPr>
        <w:ind w:firstLine="480"/>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5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51"/>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52"/>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58"/>
    <w:link w:val="949"/>
    <w:uiPriority w:val="9"/>
    <w:rPr>
      <w:rFonts w:ascii="Arial" w:hAnsi="Arial" w:eastAsia="Arial" w:cs="Arial"/>
      <w:sz w:val="40"/>
      <w:szCs w:val="40"/>
    </w:rPr>
  </w:style>
  <w:style w:type="character" w:styleId="790">
    <w:name w:val="Heading 2 Char"/>
    <w:basedOn w:val="958"/>
    <w:link w:val="950"/>
    <w:uiPriority w:val="9"/>
    <w:rPr>
      <w:rFonts w:ascii="Arial" w:hAnsi="Arial" w:eastAsia="Arial" w:cs="Arial"/>
      <w:sz w:val="34"/>
    </w:rPr>
  </w:style>
  <w:style w:type="character" w:styleId="791">
    <w:name w:val="Heading 3 Char"/>
    <w:basedOn w:val="958"/>
    <w:link w:val="951"/>
    <w:uiPriority w:val="9"/>
    <w:rPr>
      <w:rFonts w:ascii="Arial" w:hAnsi="Arial" w:eastAsia="Arial" w:cs="Arial"/>
      <w:sz w:val="30"/>
      <w:szCs w:val="30"/>
    </w:rPr>
  </w:style>
  <w:style w:type="character" w:styleId="792">
    <w:name w:val="Heading 4 Char"/>
    <w:basedOn w:val="958"/>
    <w:link w:val="952"/>
    <w:uiPriority w:val="9"/>
    <w:rPr>
      <w:rFonts w:ascii="Arial" w:hAnsi="Arial" w:eastAsia="Arial" w:cs="Arial"/>
      <w:b/>
      <w:bCs/>
      <w:sz w:val="26"/>
      <w:szCs w:val="26"/>
    </w:rPr>
  </w:style>
  <w:style w:type="character" w:styleId="793">
    <w:name w:val="Heading 5 Char"/>
    <w:basedOn w:val="958"/>
    <w:link w:val="953"/>
    <w:uiPriority w:val="9"/>
    <w:rPr>
      <w:rFonts w:ascii="Arial" w:hAnsi="Arial" w:eastAsia="Arial" w:cs="Arial"/>
      <w:b/>
      <w:bCs/>
      <w:sz w:val="24"/>
      <w:szCs w:val="24"/>
    </w:rPr>
  </w:style>
  <w:style w:type="character" w:styleId="794">
    <w:name w:val="Heading 6 Char"/>
    <w:basedOn w:val="958"/>
    <w:link w:val="954"/>
    <w:uiPriority w:val="9"/>
    <w:rPr>
      <w:rFonts w:ascii="Arial" w:hAnsi="Arial" w:eastAsia="Arial" w:cs="Arial"/>
      <w:b/>
      <w:bCs/>
      <w:sz w:val="22"/>
      <w:szCs w:val="22"/>
    </w:rPr>
  </w:style>
  <w:style w:type="character" w:styleId="795">
    <w:name w:val="Heading 7 Char"/>
    <w:basedOn w:val="958"/>
    <w:link w:val="955"/>
    <w:uiPriority w:val="9"/>
    <w:rPr>
      <w:rFonts w:ascii="Arial" w:hAnsi="Arial" w:eastAsia="Arial" w:cs="Arial"/>
      <w:b/>
      <w:bCs/>
      <w:i/>
      <w:iCs/>
      <w:sz w:val="22"/>
      <w:szCs w:val="22"/>
    </w:rPr>
  </w:style>
  <w:style w:type="character" w:styleId="796">
    <w:name w:val="Heading 8 Char"/>
    <w:basedOn w:val="958"/>
    <w:link w:val="956"/>
    <w:uiPriority w:val="9"/>
    <w:rPr>
      <w:rFonts w:ascii="Arial" w:hAnsi="Arial" w:eastAsia="Arial" w:cs="Arial"/>
      <w:i/>
      <w:iCs/>
      <w:sz w:val="22"/>
      <w:szCs w:val="22"/>
    </w:rPr>
  </w:style>
  <w:style w:type="character" w:styleId="797">
    <w:name w:val="Heading 9 Char"/>
    <w:basedOn w:val="958"/>
    <w:link w:val="957"/>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48"/>
    <w:next w:val="948"/>
    <w:link w:val="800"/>
    <w:uiPriority w:val="10"/>
    <w:qFormat/>
    <w:pPr>
      <w:contextualSpacing/>
      <w:spacing w:before="300" w:after="200"/>
    </w:pPr>
    <w:rPr>
      <w:sz w:val="48"/>
      <w:szCs w:val="48"/>
    </w:rPr>
  </w:style>
  <w:style w:type="character" w:styleId="800">
    <w:name w:val="Title Char"/>
    <w:basedOn w:val="958"/>
    <w:link w:val="799"/>
    <w:uiPriority w:val="10"/>
    <w:rPr>
      <w:sz w:val="48"/>
      <w:szCs w:val="48"/>
    </w:rPr>
  </w:style>
  <w:style w:type="character" w:styleId="801">
    <w:name w:val="Subtitle Char"/>
    <w:basedOn w:val="958"/>
    <w:link w:val="975"/>
    <w:uiPriority w:val="11"/>
    <w:rPr>
      <w:sz w:val="24"/>
      <w:szCs w:val="24"/>
    </w:rPr>
  </w:style>
  <w:style w:type="paragraph" w:styleId="802">
    <w:name w:val="Quote"/>
    <w:basedOn w:val="948"/>
    <w:next w:val="948"/>
    <w:link w:val="803"/>
    <w:uiPriority w:val="29"/>
    <w:qFormat/>
    <w:pPr>
      <w:ind w:left="720" w:right="720"/>
    </w:pPr>
    <w:rPr>
      <w:i/>
    </w:rPr>
  </w:style>
  <w:style w:type="character" w:styleId="803">
    <w:name w:val="Quote Char"/>
    <w:link w:val="802"/>
    <w:uiPriority w:val="29"/>
    <w:rPr>
      <w:i/>
    </w:rPr>
  </w:style>
  <w:style w:type="paragraph" w:styleId="804">
    <w:name w:val="Intense Quote"/>
    <w:basedOn w:val="948"/>
    <w:next w:val="948"/>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Footer Char"/>
    <w:basedOn w:val="958"/>
    <w:link w:val="972"/>
    <w:uiPriority w:val="99"/>
  </w:style>
  <w:style w:type="paragraph" w:styleId="807">
    <w:name w:val="Caption"/>
    <w:basedOn w:val="948"/>
    <w:next w:val="948"/>
    <w:uiPriority w:val="35"/>
    <w:semiHidden/>
    <w:unhideWhenUsed/>
    <w:qFormat/>
    <w:pPr>
      <w:spacing w:line="276" w:lineRule="auto"/>
    </w:pPr>
    <w:rPr>
      <w:b/>
      <w:bCs/>
      <w:color w:val="4f81bd" w:themeColor="accent1"/>
      <w:sz w:val="18"/>
      <w:szCs w:val="18"/>
    </w:rPr>
  </w:style>
  <w:style w:type="character" w:styleId="808">
    <w:name w:val="Caption Char"/>
    <w:basedOn w:val="807"/>
    <w:link w:val="972"/>
    <w:uiPriority w:val="99"/>
  </w:style>
  <w:style w:type="table" w:styleId="809">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48"/>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8"/>
    <w:uiPriority w:val="99"/>
    <w:unhideWhenUsed/>
    <w:rPr>
      <w:vertAlign w:val="superscript"/>
    </w:rPr>
  </w:style>
  <w:style w:type="paragraph" w:styleId="937">
    <w:name w:val="endnote text"/>
    <w:basedOn w:val="948"/>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8"/>
    <w:uiPriority w:val="99"/>
    <w:semiHidden/>
    <w:unhideWhenUsed/>
    <w:rPr>
      <w:vertAlign w:val="superscript"/>
    </w:rPr>
  </w:style>
  <w:style w:type="paragraph" w:styleId="940">
    <w:name w:val="toc 4"/>
    <w:basedOn w:val="948"/>
    <w:next w:val="948"/>
    <w:uiPriority w:val="39"/>
    <w:unhideWhenUsed/>
    <w:pPr>
      <w:ind w:left="850" w:right="0" w:firstLine="0"/>
      <w:spacing w:after="57"/>
    </w:pPr>
  </w:style>
  <w:style w:type="paragraph" w:styleId="941">
    <w:name w:val="toc 5"/>
    <w:basedOn w:val="948"/>
    <w:next w:val="948"/>
    <w:uiPriority w:val="39"/>
    <w:unhideWhenUsed/>
    <w:pPr>
      <w:ind w:left="1134" w:right="0" w:firstLine="0"/>
      <w:spacing w:after="57"/>
    </w:pPr>
  </w:style>
  <w:style w:type="paragraph" w:styleId="942">
    <w:name w:val="toc 6"/>
    <w:basedOn w:val="948"/>
    <w:next w:val="948"/>
    <w:uiPriority w:val="39"/>
    <w:unhideWhenUsed/>
    <w:pPr>
      <w:ind w:left="1417" w:right="0" w:firstLine="0"/>
      <w:spacing w:after="57"/>
    </w:pPr>
  </w:style>
  <w:style w:type="paragraph" w:styleId="943">
    <w:name w:val="toc 7"/>
    <w:basedOn w:val="948"/>
    <w:next w:val="948"/>
    <w:uiPriority w:val="39"/>
    <w:unhideWhenUsed/>
    <w:pPr>
      <w:ind w:left="1701"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49">
    <w:name w:val="Heading 1"/>
    <w:basedOn w:val="948"/>
    <w:next w:val="948"/>
    <w:link w:val="993"/>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950">
    <w:name w:val="Heading 2"/>
    <w:basedOn w:val="948"/>
    <w:next w:val="948"/>
    <w:link w:val="994"/>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951">
    <w:name w:val="Heading 3"/>
    <w:basedOn w:val="948"/>
    <w:next w:val="948"/>
    <w:link w:val="995"/>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952">
    <w:name w:val="Heading 4"/>
    <w:basedOn w:val="948"/>
    <w:next w:val="948"/>
    <w:link w:val="996"/>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953">
    <w:name w:val="Heading 5"/>
    <w:basedOn w:val="948"/>
    <w:next w:val="948"/>
    <w:link w:val="1001"/>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954">
    <w:name w:val="Heading 6"/>
    <w:basedOn w:val="948"/>
    <w:next w:val="948"/>
    <w:link w:val="1002"/>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955">
    <w:name w:val="Heading 7"/>
    <w:basedOn w:val="948"/>
    <w:next w:val="948"/>
    <w:link w:val="1003"/>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956">
    <w:name w:val="Heading 8"/>
    <w:basedOn w:val="948"/>
    <w:next w:val="948"/>
    <w:link w:val="1004"/>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57">
    <w:name w:val="Heading 9"/>
    <w:basedOn w:val="948"/>
    <w:next w:val="948"/>
    <w:link w:val="1005"/>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Normal Indent"/>
    <w:basedOn w:val="948"/>
    <w:uiPriority w:val="0"/>
    <w:qFormat/>
    <w:pPr>
      <w:jc w:val="left"/>
    </w:pPr>
    <w:rPr>
      <w:rFonts w:ascii="Times New Roman" w:hAnsi="Times New Roman" w:eastAsia="宋体" w:cs="Times New Roman"/>
      <w:spacing w:val="-35"/>
      <w:szCs w:val="24"/>
    </w:rPr>
  </w:style>
  <w:style w:type="paragraph" w:styleId="961">
    <w:name w:val="Document Map"/>
    <w:basedOn w:val="948"/>
    <w:link w:val="1016"/>
    <w:uiPriority w:val="99"/>
    <w:semiHidden/>
    <w:unhideWhenUsed/>
    <w:qFormat/>
    <w:rPr>
      <w:rFonts w:ascii="宋体" w:eastAsia="宋体"/>
      <w:sz w:val="18"/>
      <w:szCs w:val="18"/>
    </w:rPr>
  </w:style>
  <w:style w:type="paragraph" w:styleId="962">
    <w:name w:val="annotation text"/>
    <w:basedOn w:val="948"/>
    <w:link w:val="1008"/>
    <w:uiPriority w:val="0"/>
    <w:qFormat/>
    <w:pPr>
      <w:ind w:firstLine="922"/>
      <w:jc w:val="left"/>
      <w:spacing w:line="360" w:lineRule="auto"/>
    </w:pPr>
    <w:rPr>
      <w:rFonts w:ascii="Times New Roman" w:hAnsi="Times New Roman" w:eastAsia="宋体" w:cs="Times New Roman"/>
      <w:szCs w:val="24"/>
    </w:rPr>
  </w:style>
  <w:style w:type="paragraph" w:styleId="963">
    <w:name w:val="Body Text 3"/>
    <w:basedOn w:val="948"/>
    <w:link w:val="1019"/>
    <w:uiPriority w:val="0"/>
    <w:qFormat/>
    <w:pPr>
      <w:spacing w:after="120"/>
    </w:pPr>
    <w:rPr>
      <w:rFonts w:ascii="Times New Roman" w:hAnsi="Times New Roman" w:eastAsia="宋体" w:cs="Times New Roman"/>
      <w:sz w:val="16"/>
      <w:szCs w:val="16"/>
    </w:rPr>
  </w:style>
  <w:style w:type="paragraph" w:styleId="964">
    <w:name w:val="Body Text"/>
    <w:basedOn w:val="948"/>
    <w:next w:val="948"/>
    <w:uiPriority w:val="0"/>
    <w:qFormat/>
    <w:rPr>
      <w:rFonts w:ascii="金山简黑体" w:hAnsi="Courier New" w:eastAsia="金山简黑体"/>
      <w:b/>
      <w:spacing w:val="-8"/>
      <w:sz w:val="44"/>
      <w:szCs w:val="20"/>
    </w:rPr>
  </w:style>
  <w:style w:type="paragraph" w:styleId="965">
    <w:name w:val="Body Text Indent"/>
    <w:basedOn w:val="948"/>
    <w:link w:val="1020"/>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966">
    <w:name w:val="List 2"/>
    <w:basedOn w:val="948"/>
    <w:uiPriority w:val="0"/>
    <w:qFormat/>
    <w:pPr>
      <w:ind w:left="840" w:hanging="420"/>
    </w:pPr>
    <w:rPr>
      <w:rFonts w:ascii="隶书" w:hAnsi="Times New Roman" w:eastAsia="仿宋_GB2312" w:cs="Times New Roman"/>
      <w:color w:val="000000"/>
      <w:sz w:val="32"/>
      <w:szCs w:val="20"/>
    </w:rPr>
  </w:style>
  <w:style w:type="paragraph" w:styleId="967">
    <w:name w:val="toc 3"/>
    <w:basedOn w:val="948"/>
    <w:next w:val="948"/>
    <w:uiPriority w:val="39"/>
    <w:unhideWhenUsed/>
    <w:qFormat/>
    <w:pPr>
      <w:ind w:left="420" w:firstLine="922"/>
      <w:jc w:val="left"/>
      <w:spacing w:line="360" w:lineRule="auto"/>
    </w:pPr>
    <w:rPr>
      <w:rFonts w:ascii="Calibri" w:hAnsi="Calibri" w:eastAsia="宋体" w:cs="Times New Roman"/>
      <w:sz w:val="20"/>
      <w:szCs w:val="20"/>
    </w:rPr>
  </w:style>
  <w:style w:type="paragraph" w:styleId="968">
    <w:name w:val="Plain Text"/>
    <w:basedOn w:val="948"/>
    <w:link w:val="998"/>
    <w:uiPriority w:val="0"/>
    <w:qFormat/>
    <w:pPr>
      <w:ind w:firstLine="922"/>
      <w:spacing w:line="360" w:lineRule="auto"/>
    </w:pPr>
    <w:rPr>
      <w:rFonts w:ascii="宋体" w:hAnsi="Courier New"/>
    </w:rPr>
  </w:style>
  <w:style w:type="paragraph" w:styleId="969">
    <w:name w:val="Date"/>
    <w:basedOn w:val="948"/>
    <w:next w:val="948"/>
    <w:link w:val="1021"/>
    <w:uiPriority w:val="0"/>
    <w:qFormat/>
    <w:pPr>
      <w:ind w:left="100"/>
    </w:pPr>
    <w:rPr>
      <w:rFonts w:ascii="仿宋_GB2312" w:hAnsi="Times New Roman" w:eastAsia="仿宋_GB2312" w:cs="Times New Roman"/>
      <w:sz w:val="32"/>
      <w:szCs w:val="24"/>
    </w:rPr>
  </w:style>
  <w:style w:type="paragraph" w:styleId="970">
    <w:name w:val="Body Text Indent 2"/>
    <w:basedOn w:val="948"/>
    <w:link w:val="1022"/>
    <w:uiPriority w:val="0"/>
    <w:qFormat/>
    <w:pPr>
      <w:ind w:firstLine="645"/>
      <w:spacing w:line="440" w:lineRule="exact"/>
    </w:pPr>
    <w:rPr>
      <w:rFonts w:ascii="Times New Roman" w:hAnsi="Times New Roman" w:eastAsia="仿宋_GB2312" w:cs="Times New Roman"/>
      <w:sz w:val="32"/>
      <w:szCs w:val="24"/>
    </w:rPr>
  </w:style>
  <w:style w:type="paragraph" w:styleId="971">
    <w:name w:val="Balloon Text"/>
    <w:basedOn w:val="948"/>
    <w:link w:val="1009"/>
    <w:uiPriority w:val="0"/>
    <w:semiHidden/>
    <w:qFormat/>
    <w:pPr>
      <w:ind w:firstLine="922"/>
    </w:pPr>
    <w:rPr>
      <w:rFonts w:ascii="Times New Roman" w:hAnsi="Times New Roman" w:eastAsia="宋体" w:cs="Times New Roman"/>
      <w:sz w:val="18"/>
      <w:szCs w:val="18"/>
    </w:rPr>
  </w:style>
  <w:style w:type="paragraph" w:styleId="972">
    <w:name w:val="Footer"/>
    <w:basedOn w:val="948"/>
    <w:link w:val="102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73">
    <w:name w:val="Header"/>
    <w:basedOn w:val="948"/>
    <w:link w:val="102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74">
    <w:name w:val="toc 1"/>
    <w:basedOn w:val="948"/>
    <w:next w:val="948"/>
    <w:uiPriority w:val="39"/>
    <w:qFormat/>
    <w:pPr>
      <w:ind w:firstLine="922"/>
      <w:jc w:val="left"/>
      <w:spacing w:before="120" w:line="360" w:lineRule="auto"/>
    </w:pPr>
    <w:rPr>
      <w:rFonts w:ascii="Calibri" w:hAnsi="Calibri" w:eastAsia="宋体" w:cs="Times New Roman"/>
      <w:b/>
      <w:bCs/>
      <w:i/>
      <w:iCs/>
      <w:sz w:val="24"/>
      <w:szCs w:val="24"/>
    </w:rPr>
  </w:style>
  <w:style w:type="paragraph" w:styleId="975">
    <w:name w:val="Subtitle"/>
    <w:basedOn w:val="948"/>
    <w:next w:val="948"/>
    <w:link w:val="997"/>
    <w:uiPriority w:val="0"/>
    <w:qFormat/>
    <w:pPr>
      <w:ind w:firstLine="922"/>
      <w:jc w:val="center"/>
      <w:spacing w:before="240" w:after="60" w:line="312" w:lineRule="auto"/>
      <w:outlineLvl w:val="1"/>
    </w:pPr>
    <w:rPr>
      <w:rFonts w:ascii="Cambria" w:hAnsi="Cambria"/>
      <w:b/>
      <w:bCs/>
      <w:sz w:val="32"/>
      <w:szCs w:val="32"/>
    </w:rPr>
  </w:style>
  <w:style w:type="paragraph" w:styleId="976">
    <w:name w:val="Body Text Indent 3"/>
    <w:basedOn w:val="948"/>
    <w:link w:val="1026"/>
    <w:uiPriority w:val="0"/>
    <w:qFormat/>
    <w:pPr>
      <w:ind w:firstLine="800"/>
      <w:spacing w:line="360" w:lineRule="auto"/>
    </w:pPr>
    <w:rPr>
      <w:rFonts w:ascii="仿宋_GB2312" w:hAnsi="华文中宋" w:eastAsia="仿宋_GB2312" w:cs="Times New Roman"/>
      <w:sz w:val="32"/>
      <w:szCs w:val="32"/>
    </w:rPr>
  </w:style>
  <w:style w:type="paragraph" w:styleId="977">
    <w:name w:val="toc 2"/>
    <w:basedOn w:val="948"/>
    <w:next w:val="948"/>
    <w:uiPriority w:val="39"/>
    <w:unhideWhenUsed/>
    <w:qFormat/>
    <w:pPr>
      <w:ind w:left="210" w:firstLine="922"/>
      <w:jc w:val="left"/>
      <w:spacing w:before="120" w:line="360" w:lineRule="auto"/>
    </w:pPr>
    <w:rPr>
      <w:rFonts w:ascii="Calibri" w:hAnsi="Calibri" w:eastAsia="宋体" w:cs="Times New Roman"/>
      <w:b/>
      <w:bCs/>
      <w:sz w:val="22"/>
    </w:rPr>
  </w:style>
  <w:style w:type="paragraph" w:styleId="978">
    <w:name w:val="Body Text 2"/>
    <w:basedOn w:val="948"/>
    <w:link w:val="1027"/>
    <w:uiPriority w:val="0"/>
    <w:qFormat/>
    <w:pPr>
      <w:jc w:val="center"/>
    </w:pPr>
    <w:rPr>
      <w:rFonts w:ascii="Times New Roman" w:hAnsi="Times New Roman" w:eastAsia="宋体" w:cs="Times New Roman"/>
      <w:szCs w:val="24"/>
    </w:rPr>
  </w:style>
  <w:style w:type="paragraph" w:styleId="979">
    <w:name w:val="HTML Preformatted"/>
    <w:basedOn w:val="948"/>
    <w:link w:val="1010"/>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80">
    <w:name w:val="Normal (Web)"/>
    <w:basedOn w:val="948"/>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81">
    <w:name w:val="index 1"/>
    <w:basedOn w:val="948"/>
    <w:next w:val="948"/>
    <w:uiPriority w:val="0"/>
    <w:qFormat/>
    <w:pPr>
      <w:ind w:firstLine="200"/>
      <w:spacing w:line="360" w:lineRule="auto"/>
    </w:pPr>
    <w:rPr>
      <w:rFonts w:ascii="Times New Roman" w:hAnsi="Times New Roman" w:eastAsia="宋体" w:cs="Times New Roman"/>
      <w:szCs w:val="24"/>
    </w:rPr>
  </w:style>
  <w:style w:type="paragraph" w:styleId="982">
    <w:name w:val="annotation subject"/>
    <w:basedOn w:val="962"/>
    <w:next w:val="962"/>
    <w:link w:val="1015"/>
    <w:uiPriority w:val="0"/>
    <w:semiHidden/>
    <w:unhideWhenUsed/>
    <w:qFormat/>
    <w:pPr>
      <w:ind w:firstLine="0"/>
      <w:spacing w:line="240" w:lineRule="auto"/>
    </w:pPr>
    <w:rPr>
      <w:rFonts w:asciiTheme="minorHAnsi" w:hAnsiTheme="minorHAnsi" w:eastAsiaTheme="minorEastAsia" w:cstheme="minorBidi"/>
      <w:b/>
      <w:bCs/>
      <w:szCs w:val="22"/>
    </w:rPr>
  </w:style>
  <w:style w:type="table" w:styleId="983">
    <w:name w:val="Table Grid"/>
    <w:basedOn w:val="959"/>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0"/>
    <w:qFormat/>
    <w:rPr>
      <w:b/>
      <w:bCs/>
    </w:rPr>
  </w:style>
  <w:style w:type="character" w:styleId="985">
    <w:name w:val="page number"/>
    <w:uiPriority w:val="0"/>
    <w:qFormat/>
  </w:style>
  <w:style w:type="character" w:styleId="986">
    <w:name w:val="FollowedHyperlink"/>
    <w:uiPriority w:val="0"/>
    <w:unhideWhenUsed/>
    <w:qFormat/>
    <w:rPr>
      <w:color w:val="800080"/>
      <w:u w:val="single"/>
    </w:rPr>
  </w:style>
  <w:style w:type="character" w:styleId="987">
    <w:name w:val="Hyperlink"/>
    <w:uiPriority w:val="99"/>
    <w:qFormat/>
    <w:rPr>
      <w:color w:val="0000ff"/>
      <w:u w:val="single"/>
    </w:rPr>
  </w:style>
  <w:style w:type="character" w:styleId="988">
    <w:name w:val="annotation reference"/>
    <w:uiPriority w:val="0"/>
    <w:qFormat/>
    <w:rPr>
      <w:sz w:val="21"/>
      <w:szCs w:val="21"/>
    </w:rPr>
  </w:style>
  <w:style w:type="paragraph" w:styleId="98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90" w:customStyle="1">
    <w:name w:val="Char"/>
    <w:basedOn w:val="948"/>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91" w:customStyle="1">
    <w:name w:val="1"/>
    <w:basedOn w:val="948"/>
    <w:link w:val="992"/>
    <w:uiPriority w:val="0"/>
    <w:qFormat/>
    <w:pPr>
      <w:jc w:val="left"/>
      <w:spacing w:line="360" w:lineRule="auto"/>
    </w:pPr>
    <w:rPr>
      <w:szCs w:val="24"/>
    </w:rPr>
  </w:style>
  <w:style w:type="character" w:styleId="992" w:customStyle="1">
    <w:name w:val="1 Char"/>
    <w:link w:val="991"/>
    <w:uiPriority w:val="0"/>
    <w:qFormat/>
    <w:rPr>
      <w:szCs w:val="24"/>
    </w:rPr>
  </w:style>
  <w:style w:type="character" w:styleId="993" w:customStyle="1">
    <w:name w:val="标题 1 字符"/>
    <w:basedOn w:val="958"/>
    <w:link w:val="949"/>
    <w:uiPriority w:val="0"/>
    <w:qFormat/>
    <w:rPr>
      <w:rFonts w:ascii="Times New Roman" w:hAnsi="Times New Roman" w:eastAsia="黑体" w:cs="Times New Roman"/>
      <w:b/>
      <w:sz w:val="36"/>
      <w:szCs w:val="20"/>
    </w:rPr>
  </w:style>
  <w:style w:type="character" w:styleId="994" w:customStyle="1">
    <w:name w:val="标题 2 字符"/>
    <w:basedOn w:val="958"/>
    <w:link w:val="950"/>
    <w:uiPriority w:val="0"/>
    <w:qFormat/>
    <w:rPr>
      <w:rFonts w:ascii="Times New Roman" w:hAnsi="Times New Roman" w:eastAsia="黑体" w:cs="Times New Roman"/>
      <w:b/>
      <w:sz w:val="28"/>
      <w:szCs w:val="20"/>
    </w:rPr>
  </w:style>
  <w:style w:type="character" w:styleId="995" w:customStyle="1">
    <w:name w:val="标题 3 字符"/>
    <w:basedOn w:val="958"/>
    <w:link w:val="951"/>
    <w:uiPriority w:val="0"/>
    <w:qFormat/>
    <w:rPr>
      <w:rFonts w:ascii="Times New Roman" w:hAnsi="Times New Roman" w:eastAsia="黑体" w:cs="Times New Roman"/>
      <w:b/>
      <w:sz w:val="28"/>
      <w:szCs w:val="20"/>
    </w:rPr>
  </w:style>
  <w:style w:type="character" w:styleId="996" w:customStyle="1">
    <w:name w:val="标题 4 字符"/>
    <w:basedOn w:val="958"/>
    <w:link w:val="952"/>
    <w:uiPriority w:val="0"/>
    <w:qFormat/>
    <w:rPr>
      <w:rFonts w:ascii="Arial" w:hAnsi="Times New Roman" w:eastAsia="黑体" w:cs="Times New Roman"/>
      <w:sz w:val="28"/>
      <w:szCs w:val="20"/>
    </w:rPr>
  </w:style>
  <w:style w:type="character" w:styleId="997" w:customStyle="1">
    <w:name w:val="副标题 字符"/>
    <w:link w:val="975"/>
    <w:uiPriority w:val="0"/>
    <w:qFormat/>
    <w:rPr>
      <w:rFonts w:ascii="Cambria" w:hAnsi="Cambria"/>
      <w:b/>
      <w:bCs/>
      <w:sz w:val="32"/>
      <w:szCs w:val="32"/>
    </w:rPr>
  </w:style>
  <w:style w:type="character" w:styleId="998" w:customStyle="1">
    <w:name w:val="纯文本 字符"/>
    <w:link w:val="968"/>
    <w:uiPriority w:val="0"/>
    <w:qFormat/>
    <w:rPr>
      <w:rFonts w:ascii="宋体" w:hAnsi="Courier New"/>
    </w:rPr>
  </w:style>
  <w:style w:type="paragraph" w:styleId="999">
    <w:name w:val="List Paragraph"/>
    <w:basedOn w:val="948"/>
    <w:uiPriority w:val="0"/>
    <w:qFormat/>
    <w:pPr>
      <w:ind w:firstLine="420"/>
      <w:spacing w:line="360" w:lineRule="auto"/>
    </w:pPr>
    <w:rPr>
      <w:rFonts w:ascii="Times New Roman" w:hAnsi="Times New Roman" w:eastAsia="宋体" w:cs="Times New Roman"/>
      <w:szCs w:val="24"/>
    </w:rPr>
  </w:style>
  <w:style w:type="paragraph" w:styleId="1000" w:customStyle="1">
    <w:name w:val="TOC 标题1"/>
    <w:basedOn w:val="949"/>
    <w:next w:val="948"/>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01" w:customStyle="1">
    <w:name w:val="标题 5 字符"/>
    <w:basedOn w:val="958"/>
    <w:link w:val="953"/>
    <w:uiPriority w:val="0"/>
    <w:semiHidden/>
    <w:qFormat/>
    <w:rPr>
      <w:rFonts w:ascii="Times New Roman" w:hAnsi="Times New Roman" w:eastAsia="宋体" w:cs="Times New Roman"/>
      <w:b/>
      <w:bCs/>
      <w:sz w:val="28"/>
      <w:szCs w:val="28"/>
    </w:rPr>
  </w:style>
  <w:style w:type="character" w:styleId="1002" w:customStyle="1">
    <w:name w:val="标题 6 字符"/>
    <w:basedOn w:val="958"/>
    <w:link w:val="954"/>
    <w:uiPriority w:val="0"/>
    <w:semiHidden/>
    <w:qFormat/>
    <w:rPr>
      <w:rFonts w:ascii="Cambria" w:hAnsi="Cambria" w:eastAsia="宋体" w:cs="Times New Roman"/>
      <w:b/>
      <w:bCs/>
      <w:sz w:val="24"/>
      <w:szCs w:val="24"/>
    </w:rPr>
  </w:style>
  <w:style w:type="character" w:styleId="1003" w:customStyle="1">
    <w:name w:val="标题 7 字符"/>
    <w:basedOn w:val="958"/>
    <w:link w:val="955"/>
    <w:uiPriority w:val="0"/>
    <w:semiHidden/>
    <w:qFormat/>
    <w:rPr>
      <w:rFonts w:ascii="Times New Roman" w:hAnsi="Times New Roman" w:eastAsia="宋体" w:cs="Times New Roman"/>
      <w:b/>
      <w:bCs/>
      <w:sz w:val="24"/>
      <w:szCs w:val="24"/>
    </w:rPr>
  </w:style>
  <w:style w:type="character" w:styleId="1004" w:customStyle="1">
    <w:name w:val="标题 8 字符"/>
    <w:basedOn w:val="958"/>
    <w:link w:val="956"/>
    <w:uiPriority w:val="0"/>
    <w:semiHidden/>
    <w:qFormat/>
    <w:rPr>
      <w:rFonts w:ascii="Cambria" w:hAnsi="Cambria" w:eastAsia="宋体" w:cs="Times New Roman"/>
      <w:sz w:val="24"/>
      <w:szCs w:val="24"/>
    </w:rPr>
  </w:style>
  <w:style w:type="character" w:styleId="1005" w:customStyle="1">
    <w:name w:val="标题 9 字符"/>
    <w:basedOn w:val="958"/>
    <w:link w:val="957"/>
    <w:uiPriority w:val="0"/>
    <w:semiHidden/>
    <w:qFormat/>
    <w:rPr>
      <w:rFonts w:ascii="Cambria" w:hAnsi="Cambria" w:eastAsia="宋体" w:cs="Times New Roman"/>
      <w:szCs w:val="21"/>
    </w:rPr>
  </w:style>
  <w:style w:type="paragraph" w:styleId="1006" w:customStyle="1">
    <w:name w:val="Default"/>
    <w:link w:val="1007"/>
    <w:uiPriority w:val="99"/>
    <w:qFormat/>
    <w:pPr>
      <w:widowControl w:val="off"/>
    </w:pPr>
    <w:rPr>
      <w:rFonts w:ascii="MS Mincho" w:hAnsi="Calibri" w:eastAsia="宋体" w:cs="Times New Roman"/>
      <w:color w:val="000000"/>
      <w:sz w:val="21"/>
      <w:szCs w:val="24"/>
      <w:lang w:val="en-US" w:eastAsia="zh-CN" w:bidi="ar-SA"/>
    </w:rPr>
  </w:style>
  <w:style w:type="character" w:styleId="1007" w:customStyle="1">
    <w:name w:val="Default Char"/>
    <w:link w:val="1006"/>
    <w:uiPriority w:val="99"/>
    <w:qFormat/>
    <w:rPr>
      <w:rFonts w:ascii="MS Mincho" w:hAnsi="Calibri" w:eastAsia="宋体" w:cs="Times New Roman"/>
      <w:color w:val="000000"/>
      <w:szCs w:val="24"/>
    </w:rPr>
  </w:style>
  <w:style w:type="character" w:styleId="1008" w:customStyle="1">
    <w:name w:val="批注文字 字符"/>
    <w:basedOn w:val="958"/>
    <w:link w:val="962"/>
    <w:uiPriority w:val="0"/>
    <w:qFormat/>
    <w:rPr>
      <w:rFonts w:ascii="Times New Roman" w:hAnsi="Times New Roman" w:eastAsia="宋体" w:cs="Times New Roman"/>
      <w:szCs w:val="24"/>
    </w:rPr>
  </w:style>
  <w:style w:type="character" w:styleId="1009" w:customStyle="1">
    <w:name w:val="批注框文本 字符"/>
    <w:basedOn w:val="958"/>
    <w:link w:val="971"/>
    <w:uiPriority w:val="0"/>
    <w:semiHidden/>
    <w:qFormat/>
    <w:rPr>
      <w:rFonts w:ascii="Times New Roman" w:hAnsi="Times New Roman" w:eastAsia="宋体" w:cs="Times New Roman"/>
      <w:sz w:val="18"/>
      <w:szCs w:val="18"/>
    </w:rPr>
  </w:style>
  <w:style w:type="character" w:styleId="1010" w:customStyle="1">
    <w:name w:val="HTML 预设格式 字符"/>
    <w:link w:val="979"/>
    <w:uiPriority w:val="0"/>
    <w:qFormat/>
    <w:rPr>
      <w:rFonts w:ascii="宋体" w:hAnsi="宋体" w:cs="宋体"/>
      <w:sz w:val="24"/>
      <w:szCs w:val="24"/>
    </w:rPr>
  </w:style>
  <w:style w:type="character" w:styleId="1011" w:customStyle="1">
    <w:name w:val="HTML 预设格式 Char1"/>
    <w:basedOn w:val="958"/>
    <w:uiPriority w:val="99"/>
    <w:semiHidden/>
    <w:qFormat/>
    <w:rPr>
      <w:rFonts w:ascii="Courier New" w:hAnsi="Courier New" w:cs="Courier New"/>
      <w:sz w:val="20"/>
      <w:szCs w:val="20"/>
    </w:rPr>
  </w:style>
  <w:style w:type="character" w:styleId="1012" w:customStyle="1">
    <w:name w:val="普通正文 Char"/>
    <w:link w:val="1013"/>
    <w:uiPriority w:val="0"/>
    <w:qFormat/>
    <w:rPr>
      <w:rFonts w:ascii="Arial" w:hAnsi="Arial"/>
      <w:sz w:val="24"/>
      <w:szCs w:val="24"/>
    </w:rPr>
  </w:style>
  <w:style w:type="paragraph" w:styleId="1013" w:customStyle="1">
    <w:name w:val="普通正文"/>
    <w:basedOn w:val="948"/>
    <w:link w:val="1012"/>
    <w:uiPriority w:val="0"/>
    <w:qFormat/>
    <w:pPr>
      <w:ind w:firstLine="480"/>
      <w:jc w:val="left"/>
      <w:spacing w:before="120" w:after="120" w:line="360" w:lineRule="auto"/>
    </w:pPr>
    <w:rPr>
      <w:rFonts w:ascii="Arial" w:hAnsi="Arial"/>
      <w:sz w:val="24"/>
      <w:szCs w:val="24"/>
    </w:rPr>
  </w:style>
  <w:style w:type="paragraph" w:styleId="1014" w:customStyle="1">
    <w:name w:val="Char1"/>
    <w:basedOn w:val="948"/>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15" w:customStyle="1">
    <w:name w:val="批注主题 字符"/>
    <w:basedOn w:val="1008"/>
    <w:link w:val="982"/>
    <w:uiPriority w:val="99"/>
    <w:semiHidden/>
    <w:qFormat/>
    <w:rPr>
      <w:rFonts w:ascii="Times New Roman" w:hAnsi="Times New Roman" w:eastAsia="宋体" w:cs="Times New Roman"/>
      <w:b/>
      <w:bCs/>
      <w:szCs w:val="24"/>
    </w:rPr>
  </w:style>
  <w:style w:type="character" w:styleId="1016" w:customStyle="1">
    <w:name w:val="文档结构图 字符"/>
    <w:basedOn w:val="958"/>
    <w:link w:val="961"/>
    <w:uiPriority w:val="99"/>
    <w:semiHidden/>
    <w:qFormat/>
    <w:rPr>
      <w:rFonts w:ascii="宋体" w:eastAsia="宋体"/>
      <w:sz w:val="18"/>
      <w:szCs w:val="18"/>
    </w:rPr>
  </w:style>
  <w:style w:type="paragraph" w:styleId="101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1018" w:customStyle="1">
    <w:name w:val="段"/>
    <w:next w:val="948"/>
    <w:uiPriority w:val="0"/>
    <w:qFormat/>
    <w:pPr>
      <w:ind w:firstLine="200"/>
      <w:jc w:val="both"/>
    </w:pPr>
    <w:rPr>
      <w:rFonts w:ascii="宋体" w:hAnsi="Times New Roman" w:eastAsia="宋体" w:cs="Times New Roman"/>
      <w:sz w:val="21"/>
      <w:szCs w:val="22"/>
      <w:lang w:val="en-US" w:eastAsia="zh-CN" w:bidi="ar-SA"/>
    </w:rPr>
  </w:style>
  <w:style w:type="character" w:styleId="1019" w:customStyle="1">
    <w:name w:val="正文文本 3 字符"/>
    <w:basedOn w:val="958"/>
    <w:link w:val="963"/>
    <w:uiPriority w:val="0"/>
    <w:qFormat/>
    <w:rPr>
      <w:rFonts w:ascii="Times New Roman" w:hAnsi="Times New Roman" w:eastAsia="宋体" w:cs="Times New Roman"/>
      <w:sz w:val="16"/>
      <w:szCs w:val="16"/>
    </w:rPr>
  </w:style>
  <w:style w:type="character" w:styleId="1020" w:customStyle="1">
    <w:name w:val="正文文本缩进 字符"/>
    <w:basedOn w:val="958"/>
    <w:link w:val="965"/>
    <w:uiPriority w:val="0"/>
    <w:qFormat/>
    <w:rPr>
      <w:rFonts w:ascii="仿宋_GB2312" w:hAnsi="Times New Roman" w:eastAsia="仿宋_GB2312" w:cs="Times New Roman"/>
      <w:sz w:val="32"/>
      <w:szCs w:val="24"/>
    </w:rPr>
  </w:style>
  <w:style w:type="character" w:styleId="1021" w:customStyle="1">
    <w:name w:val="日期 字符"/>
    <w:basedOn w:val="958"/>
    <w:link w:val="969"/>
    <w:uiPriority w:val="0"/>
    <w:qFormat/>
    <w:rPr>
      <w:rFonts w:ascii="仿宋_GB2312" w:hAnsi="Times New Roman" w:eastAsia="仿宋_GB2312" w:cs="Times New Roman"/>
      <w:sz w:val="32"/>
      <w:szCs w:val="24"/>
    </w:rPr>
  </w:style>
  <w:style w:type="character" w:styleId="1022" w:customStyle="1">
    <w:name w:val="正文文本缩进 2 字符"/>
    <w:basedOn w:val="958"/>
    <w:link w:val="970"/>
    <w:uiPriority w:val="0"/>
    <w:qFormat/>
    <w:rPr>
      <w:rFonts w:ascii="Times New Roman" w:hAnsi="Times New Roman" w:eastAsia="仿宋_GB2312" w:cs="Times New Roman"/>
      <w:sz w:val="32"/>
      <w:szCs w:val="24"/>
    </w:rPr>
  </w:style>
  <w:style w:type="character" w:styleId="1023" w:customStyle="1">
    <w:name w:val="页脚 Char"/>
    <w:basedOn w:val="958"/>
    <w:uiPriority w:val="0"/>
    <w:qFormat/>
    <w:rPr>
      <w:sz w:val="18"/>
      <w:szCs w:val="18"/>
    </w:rPr>
  </w:style>
  <w:style w:type="character" w:styleId="1024" w:customStyle="1">
    <w:name w:val="页脚 字符"/>
    <w:link w:val="972"/>
    <w:uiPriority w:val="0"/>
    <w:qFormat/>
    <w:rPr>
      <w:rFonts w:ascii="Times New Roman" w:hAnsi="Times New Roman" w:eastAsia="宋体" w:cs="Times New Roman"/>
      <w:sz w:val="18"/>
      <w:szCs w:val="18"/>
    </w:rPr>
  </w:style>
  <w:style w:type="character" w:styleId="1025" w:customStyle="1">
    <w:name w:val="页眉 字符"/>
    <w:basedOn w:val="958"/>
    <w:link w:val="973"/>
    <w:uiPriority w:val="0"/>
    <w:qFormat/>
    <w:rPr>
      <w:rFonts w:ascii="Times New Roman" w:hAnsi="Times New Roman" w:eastAsia="宋体" w:cs="Times New Roman"/>
      <w:sz w:val="18"/>
      <w:szCs w:val="18"/>
    </w:rPr>
  </w:style>
  <w:style w:type="character" w:styleId="1026" w:customStyle="1">
    <w:name w:val="正文文本缩进 3 字符"/>
    <w:basedOn w:val="958"/>
    <w:link w:val="976"/>
    <w:uiPriority w:val="0"/>
    <w:qFormat/>
    <w:rPr>
      <w:rFonts w:ascii="仿宋_GB2312" w:hAnsi="华文中宋" w:eastAsia="仿宋_GB2312" w:cs="Times New Roman"/>
      <w:sz w:val="32"/>
      <w:szCs w:val="32"/>
    </w:rPr>
  </w:style>
  <w:style w:type="character" w:styleId="1027" w:customStyle="1">
    <w:name w:val="正文文本 2 字符"/>
    <w:basedOn w:val="958"/>
    <w:link w:val="978"/>
    <w:uiPriority w:val="0"/>
    <w:qFormat/>
    <w:rPr>
      <w:rFonts w:ascii="Times New Roman" w:hAnsi="Times New Roman" w:eastAsia="宋体" w:cs="Times New Roman"/>
      <w:sz w:val="21"/>
      <w:szCs w:val="24"/>
    </w:rPr>
  </w:style>
  <w:style w:type="table" w:styleId="1028" w:customStyle="1">
    <w:name w:val="网格型1"/>
    <w:basedOn w:val="959"/>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customStyle="1">
    <w:name w:val="Header Char"/>
    <w:uiPriority w:val="0"/>
    <w:qFormat/>
    <w:rPr>
      <w:rFonts w:cs="Times New Roman"/>
      <w:sz w:val="18"/>
      <w:szCs w:val="18"/>
    </w:rPr>
  </w:style>
  <w:style w:type="character" w:styleId="1030" w:customStyle="1">
    <w:name w:val="style341"/>
    <w:uiPriority w:val="0"/>
    <w:qFormat/>
  </w:style>
  <w:style w:type="paragraph" w:styleId="1031" w:customStyle="1">
    <w:name w:val="p0"/>
    <w:basedOn w:val="948"/>
    <w:uiPriority w:val="0"/>
    <w:qFormat/>
    <w:pPr>
      <w:widowControl/>
    </w:pPr>
    <w:rPr>
      <w:rFonts w:ascii="Calibri" w:hAnsi="Calibri" w:eastAsia="宋体" w:cs="宋体"/>
      <w:szCs w:val="21"/>
    </w:rPr>
  </w:style>
  <w:style w:type="paragraph" w:styleId="1032" w:customStyle="1">
    <w:name w:val="Char Char Char Char Char1 Char Char Char"/>
    <w:basedOn w:val="948"/>
    <w:uiPriority w:val="0"/>
    <w:qFormat/>
    <w:pPr>
      <w:jc w:val="left"/>
      <w:spacing w:after="160" w:line="240" w:lineRule="exact"/>
      <w:widowControl/>
    </w:pPr>
    <w:rPr>
      <w:rFonts w:ascii="Times New Roman" w:hAnsi="Times New Roman" w:eastAsia="宋体" w:cs="Times New Roman"/>
      <w:szCs w:val="24"/>
    </w:rPr>
  </w:style>
  <w:style w:type="paragraph" w:styleId="1033" w:customStyle="1">
    <w:name w:val="p15"/>
    <w:basedOn w:val="948"/>
    <w:uiPriority w:val="0"/>
    <w:qFormat/>
    <w:pPr>
      <w:ind w:firstLine="420"/>
      <w:widowControl/>
    </w:pPr>
    <w:rPr>
      <w:rFonts w:ascii="Calibri" w:hAnsi="Calibri" w:eastAsia="宋体" w:cs="宋体"/>
      <w:szCs w:val="21"/>
    </w:rPr>
  </w:style>
  <w:style w:type="paragraph" w:styleId="1034" w:customStyle="1">
    <w:name w:val="_Style 31"/>
    <w:basedOn w:val="94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5" w:customStyle="1">
    <w:name w:val="_Style 3"/>
    <w:basedOn w:val="94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6" w:customStyle="1">
    <w:name w:val="Char2"/>
    <w:basedOn w:val="948"/>
    <w:uiPriority w:val="0"/>
    <w:qFormat/>
    <w:pPr>
      <w:tabs>
        <w:tab w:val="left" w:pos="360" w:leader="none"/>
      </w:tabs>
    </w:pPr>
    <w:rPr>
      <w:rFonts w:ascii="Times New Roman" w:hAnsi="Times New Roman" w:eastAsia="宋体" w:cs="Times New Roman"/>
      <w:sz w:val="24"/>
      <w:szCs w:val="24"/>
    </w:rPr>
  </w:style>
  <w:style w:type="paragraph" w:styleId="1037" w:customStyle="1">
    <w:name w:val="Char Char Char Char Char Char Char Char Char"/>
    <w:basedOn w:val="948"/>
    <w:uiPriority w:val="0"/>
    <w:qFormat/>
    <w:pPr>
      <w:jc w:val="left"/>
      <w:spacing w:after="160" w:line="240" w:lineRule="exact"/>
      <w:widowControl/>
    </w:pPr>
    <w:rPr>
      <w:rFonts w:ascii="Verdana" w:hAnsi="Verdana" w:eastAsia="仿宋_GB2312" w:cs="Times New Roman"/>
      <w:sz w:val="24"/>
      <w:szCs w:val="20"/>
      <w:lang w:eastAsia="en-US"/>
    </w:rPr>
  </w:style>
  <w:style w:type="character" w:styleId="1038" w:customStyle="1">
    <w:name w:val="font01"/>
    <w:uiPriority w:val="0"/>
    <w:qFormat/>
    <w:rPr>
      <w:rFonts w:hint="eastAsia" w:ascii="宋体" w:hAnsi="宋体" w:eastAsia="宋体" w:cs="宋体"/>
      <w:color w:val="000000"/>
      <w:sz w:val="22"/>
      <w:szCs w:val="22"/>
      <w:u w:val="none"/>
    </w:rPr>
  </w:style>
  <w:style w:type="character" w:styleId="1039" w:customStyle="1">
    <w:name w:val="font11"/>
    <w:uiPriority w:val="0"/>
    <w:qFormat/>
    <w:rPr>
      <w:rFonts w:hint="eastAsia" w:ascii="宋体" w:hAnsi="宋体" w:eastAsia="宋体" w:cs="宋体"/>
      <w:color w:val="ff0000"/>
      <w:sz w:val="22"/>
      <w:szCs w:val="22"/>
      <w:u w:val="none"/>
    </w:rPr>
  </w:style>
  <w:style w:type="character" w:styleId="1040" w:customStyle="1">
    <w:name w:val="font31"/>
    <w:basedOn w:val="958"/>
    <w:uiPriority w:val="0"/>
    <w:qFormat/>
    <w:rPr>
      <w:rFonts w:hint="eastAsia" w:ascii="仿宋" w:hAnsi="仿宋" w:eastAsia="仿宋" w:cs="仿宋"/>
      <w:b/>
      <w:bCs/>
      <w:color w:val="000000"/>
      <w:sz w:val="16"/>
      <w:szCs w:val="16"/>
      <w:u w:val="none"/>
    </w:rPr>
  </w:style>
  <w:style w:type="character" w:styleId="1041" w:customStyle="1">
    <w:name w:val="font21"/>
    <w:basedOn w:val="958"/>
    <w:uiPriority w:val="0"/>
    <w:qFormat/>
    <w:rPr>
      <w:rFonts w:hint="eastAsia" w:ascii="仿宋" w:hAnsi="仿宋" w:eastAsia="仿宋" w:cs="仿宋"/>
      <w:color w:val="000000"/>
      <w:sz w:val="16"/>
      <w:szCs w:val="16"/>
      <w:u w:val="none"/>
    </w:rPr>
  </w:style>
  <w:style w:type="character" w:styleId="1042" w:customStyle="1">
    <w:name w:val="font41"/>
    <w:basedOn w:val="958"/>
    <w:uiPriority w:val="0"/>
    <w:qFormat/>
    <w:rPr>
      <w:rFonts w:hint="eastAsia" w:ascii="仿宋" w:hAnsi="仿宋" w:eastAsia="仿宋" w:cs="仿宋"/>
      <w:b/>
      <w:bCs/>
      <w:color w:val="ff0000"/>
      <w:sz w:val="16"/>
      <w:szCs w:val="16"/>
      <w:u w:val="none"/>
    </w:rPr>
  </w:style>
  <w:style w:type="paragraph" w:styleId="1043" w:customStyle="1">
    <w:name w:val="列出段落1"/>
    <w:basedOn w:val="948"/>
    <w:uiPriority w:val="99"/>
    <w:qFormat/>
    <w:pPr>
      <w:ind w:firstLine="420"/>
    </w:pPr>
    <w:rPr>
      <w:rFonts w:ascii="Calibri" w:hAnsi="Calibri" w:eastAsia="宋体" w:cs="Times New Roman"/>
    </w:rPr>
  </w:style>
  <w:style w:type="paragraph" w:styleId="1044" w:customStyle="1">
    <w:name w:val="paragraph"/>
    <w:basedOn w:val="948"/>
    <w:uiPriority w:val="0"/>
    <w:qFormat/>
    <w:pPr>
      <w:jc w:val="left"/>
      <w:spacing w:before="100" w:beforeAutospacing="1" w:after="100" w:afterAutospacing="1"/>
      <w:widowControl/>
    </w:pPr>
    <w:rPr>
      <w:rFonts w:ascii="宋体" w:hAnsi="宋体" w:cs="宋体"/>
      <w:sz w:val="24"/>
      <w:szCs w:val="24"/>
    </w:rPr>
  </w:style>
  <w:style w:type="paragraph" w:styleId="1045" w:customStyle="1">
    <w:name w:val="Preistext2"/>
    <w:basedOn w:val="948"/>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46"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1047" w:customStyle="1">
    <w:name w:val="网格型2"/>
    <w:basedOn w:val="959"/>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8" w:customStyle="1">
    <w:name w:val="Body text|1"/>
    <w:basedOn w:val="948"/>
    <w:uiPriority w:val="0"/>
    <w:qFormat/>
    <w:pPr>
      <w:jc w:val="left"/>
      <w:spacing w:line="420" w:lineRule="auto"/>
    </w:pPr>
    <w:rPr>
      <w:rFonts w:ascii="宋体" w:hAnsi="宋体" w:eastAsia="宋体" w:cs="宋体"/>
      <w:color w:val="000000"/>
      <w:sz w:val="20"/>
      <w:szCs w:val="20"/>
      <w:lang w:val="zh-TW" w:eastAsia="zh-TW" w:bidi="zh-TW"/>
    </w:rPr>
  </w:style>
  <w:style w:type="character" w:styleId="1049" w:customStyle="1">
    <w:name w:val="mark"/>
    <w:basedOn w:val="958"/>
    <w:uiPriority w:val="0"/>
    <w:qFormat/>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916</cp:revision>
  <dcterms:created xsi:type="dcterms:W3CDTF">2021-07-28T12:14:00Z</dcterms:created>
  <dcterms:modified xsi:type="dcterms:W3CDTF">2025-11-07T08:21:09Z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B0C54C1C8E6A4FE7AE7F4182F6E3EB61_13</vt:lpwstr>
  </property>
  <property fmtid="{D5CDD505-2E9C-101B-9397-08002B2CF9AE}" pid="4" name="KSOTemplateDocerSaveRecord">
    <vt:lpwstr>eyJoZGlkIjoiNWZjYmJhMTQ3YTJhYTEwNGRlMjg0MjdiNjZkNDUzOGIiLCJ1c2VySWQiOiI3MDAwMTgxOTMifQ==</vt:lpwstr>
  </property>
</Properties>
</file>